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D54B1" w14:textId="393FE379" w:rsidR="00E66558" w:rsidRDefault="009D71E8">
      <w:pPr>
        <w:pStyle w:val="Heading1"/>
      </w:pPr>
      <w:bookmarkStart w:id="0" w:name="_Toc400361362"/>
      <w:bookmarkStart w:id="1" w:name="_Toc443397153"/>
      <w:bookmarkStart w:id="2" w:name="_Toc357771638"/>
      <w:bookmarkStart w:id="3" w:name="_Toc346793416"/>
      <w:bookmarkStart w:id="4" w:name="_Toc328122777"/>
      <w:r>
        <w:t>Pupil premium strategy statement</w:t>
      </w:r>
      <w:bookmarkStart w:id="5" w:name="_Toc338167830"/>
      <w:bookmarkStart w:id="6" w:name="_Toc361136403"/>
      <w:bookmarkStart w:id="7" w:name="_Toc364235708"/>
      <w:bookmarkStart w:id="8" w:name="_Toc364235752"/>
      <w:bookmarkStart w:id="9" w:name="_Toc364235834"/>
      <w:bookmarkStart w:id="10" w:name="_Toc364840099"/>
      <w:bookmarkStart w:id="11" w:name="_Toc364864309"/>
      <w:bookmarkStart w:id="12" w:name="_Toc400361364"/>
      <w:bookmarkStart w:id="13" w:name="_Toc443397154"/>
      <w:bookmarkEnd w:id="0"/>
      <w:bookmarkEnd w:id="1"/>
      <w:r w:rsidR="00226317">
        <w:t xml:space="preserve"> – </w:t>
      </w:r>
      <w:proofErr w:type="spellStart"/>
      <w:r w:rsidR="00E153A0">
        <w:t>Askwith</w:t>
      </w:r>
      <w:proofErr w:type="spellEnd"/>
      <w:r w:rsidR="00E153A0">
        <w:t xml:space="preserve"> Primary School</w:t>
      </w:r>
    </w:p>
    <w:p w14:paraId="2A7D54B2" w14:textId="3EE41438" w:rsidR="00E66558" w:rsidRDefault="009D71E8" w:rsidP="00C62989">
      <w:pPr>
        <w:rPr>
          <w:b/>
        </w:rPr>
      </w:pPr>
      <w:r>
        <w:t xml:space="preserve">This statement details our school’s use of pupil premium (and recovery premium) funding to help improve the attainment of our disadvantaged pupils. </w:t>
      </w:r>
    </w:p>
    <w:p w14:paraId="2A7D54B3" w14:textId="730F2E71" w:rsidR="00E66558" w:rsidRDefault="009D71E8" w:rsidP="00C62989">
      <w:pPr>
        <w:rPr>
          <w:b/>
        </w:rPr>
      </w:pPr>
      <w:r>
        <w:t xml:space="preserve">It outlines our pupil premium strategy, how we intend to spend the funding in this academic year and the </w:t>
      </w:r>
      <w:r w:rsidR="00830D57">
        <w:t xml:space="preserve">outcomes </w:t>
      </w:r>
      <w:r w:rsidR="00A44FBB">
        <w:t>for disadvantaged pupils</w:t>
      </w:r>
      <w:r>
        <w:t xml:space="preserve"> last </w:t>
      </w:r>
      <w:r w:rsidR="00A44FBB">
        <w:t xml:space="preserve">academic </w:t>
      </w:r>
      <w:r>
        <w:t>year</w:t>
      </w:r>
      <w:r w:rsidR="00A44FBB">
        <w:t>.</w:t>
      </w:r>
    </w:p>
    <w:p w14:paraId="2A7D54B4" w14:textId="2CAB096C" w:rsidR="00E66558" w:rsidRDefault="009D71E8">
      <w:pPr>
        <w:pStyle w:val="Heading2"/>
      </w:pPr>
      <w:r>
        <w:t>School overview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7"/>
        <w:gridCol w:w="2969"/>
      </w:tblGrid>
      <w:tr w:rsidR="00E66558" w14:paraId="2A7D54B7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5" w14:textId="77777777" w:rsidR="00E66558" w:rsidRDefault="009D71E8">
            <w:pPr>
              <w:pStyle w:val="TableHeader"/>
              <w:jc w:val="left"/>
            </w:pPr>
            <w:r>
              <w:t>Detail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6" w14:textId="77777777" w:rsidR="00E66558" w:rsidRDefault="009D71E8">
            <w:pPr>
              <w:pStyle w:val="TableHeader"/>
              <w:jc w:val="left"/>
            </w:pPr>
            <w:r>
              <w:t>Data</w:t>
            </w:r>
          </w:p>
        </w:tc>
      </w:tr>
      <w:tr w:rsidR="002940F3" w14:paraId="2A7D54BA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8" w14:textId="7E4C52DD" w:rsidR="002940F3" w:rsidRPr="00353E83" w:rsidRDefault="002940F3">
            <w:pPr>
              <w:pStyle w:val="TableRow"/>
            </w:pPr>
            <w:r w:rsidRPr="00353E83">
              <w:t xml:space="preserve">Number of pupils in school 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9" w14:textId="1C20CE7C" w:rsidR="002940F3" w:rsidRPr="00353E83" w:rsidRDefault="00440B7C">
            <w:pPr>
              <w:pStyle w:val="TableRow"/>
            </w:pPr>
            <w:r w:rsidRPr="00353E83">
              <w:t>8</w:t>
            </w:r>
            <w:r w:rsidR="008E7B58" w:rsidRPr="00353E83">
              <w:t>9</w:t>
            </w:r>
            <w:r w:rsidR="009E2D5A" w:rsidRPr="00353E83">
              <w:t xml:space="preserve"> main school </w:t>
            </w:r>
            <w:r w:rsidR="008E7B58" w:rsidRPr="00353E83">
              <w:t>10</w:t>
            </w:r>
            <w:r w:rsidR="009E2D5A" w:rsidRPr="00353E83">
              <w:t xml:space="preserve"> </w:t>
            </w:r>
            <w:r w:rsidR="00770B91" w:rsidRPr="00353E83">
              <w:t>nursery</w:t>
            </w:r>
          </w:p>
        </w:tc>
      </w:tr>
      <w:tr w:rsidR="002940F3" w14:paraId="2A7D54BD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B" w14:textId="04774D67" w:rsidR="002940F3" w:rsidRPr="00353E83" w:rsidRDefault="002940F3">
            <w:pPr>
              <w:pStyle w:val="TableRow"/>
            </w:pPr>
            <w:r w:rsidRPr="00353E83">
              <w:t>Proportion (%) of pupil premium eligible pupils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C" w14:textId="18F9AA1D" w:rsidR="002940F3" w:rsidRPr="00353E83" w:rsidRDefault="00353E83">
            <w:pPr>
              <w:pStyle w:val="TableRow"/>
            </w:pPr>
            <w:r w:rsidRPr="00353E83">
              <w:t>8.9</w:t>
            </w:r>
            <w:r w:rsidR="00770B91" w:rsidRPr="00353E83">
              <w:t>%</w:t>
            </w:r>
          </w:p>
        </w:tc>
      </w:tr>
      <w:tr w:rsidR="002940F3" w14:paraId="2A7D54C0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E" w14:textId="2862A41A" w:rsidR="002940F3" w:rsidRPr="00A60848" w:rsidRDefault="002940F3">
            <w:pPr>
              <w:pStyle w:val="TableRow"/>
            </w:pPr>
            <w:r w:rsidRPr="00A60848">
              <w:t xml:space="preserve">Academic year/years that our current pupil premium strategy plan covers </w:t>
            </w:r>
            <w:r w:rsidRPr="00A60848">
              <w:rPr>
                <w:b/>
              </w:rPr>
              <w:t>(</w:t>
            </w:r>
            <w:proofErr w:type="gramStart"/>
            <w:r w:rsidRPr="00A60848">
              <w:rPr>
                <w:b/>
              </w:rPr>
              <w:t>3 year</w:t>
            </w:r>
            <w:proofErr w:type="gramEnd"/>
            <w:r w:rsidRPr="00A60848">
              <w:rPr>
                <w:b/>
              </w:rPr>
              <w:t xml:space="preserve"> plans are recommended)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F" w14:textId="7AB356FF" w:rsidR="002940F3" w:rsidRPr="00A60848" w:rsidRDefault="009E2D5A">
            <w:pPr>
              <w:pStyle w:val="TableRow"/>
            </w:pPr>
            <w:r w:rsidRPr="00A60848">
              <w:t>202</w:t>
            </w:r>
            <w:r w:rsidR="00A60848" w:rsidRPr="00A60848">
              <w:t>4</w:t>
            </w:r>
            <w:r w:rsidRPr="00A60848">
              <w:t>-202</w:t>
            </w:r>
            <w:r w:rsidR="00A60848" w:rsidRPr="00A60848">
              <w:t>5</w:t>
            </w:r>
          </w:p>
        </w:tc>
      </w:tr>
      <w:tr w:rsidR="002940F3" w14:paraId="2A7D54C3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1" w14:textId="0F472705" w:rsidR="002940F3" w:rsidRPr="00A60848" w:rsidRDefault="002940F3">
            <w:pPr>
              <w:pStyle w:val="TableRow"/>
            </w:pPr>
            <w:r w:rsidRPr="00A60848">
              <w:rPr>
                <w:szCs w:val="22"/>
              </w:rPr>
              <w:t>Date this statement was published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2" w14:textId="03CC2325" w:rsidR="002940F3" w:rsidRPr="00A60848" w:rsidRDefault="009E2D5A">
            <w:pPr>
              <w:pStyle w:val="TableRow"/>
            </w:pPr>
            <w:r w:rsidRPr="00A60848">
              <w:t>December 202</w:t>
            </w:r>
            <w:r w:rsidR="00A60848" w:rsidRPr="00A60848">
              <w:t>4</w:t>
            </w:r>
          </w:p>
        </w:tc>
      </w:tr>
      <w:tr w:rsidR="002940F3" w14:paraId="2A7D54C6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4" w14:textId="0C766347" w:rsidR="002940F3" w:rsidRPr="00A60848" w:rsidRDefault="002940F3">
            <w:pPr>
              <w:pStyle w:val="TableRow"/>
            </w:pPr>
            <w:r w:rsidRPr="00A60848">
              <w:rPr>
                <w:szCs w:val="22"/>
              </w:rPr>
              <w:t>Date on which it will be reviewed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5" w14:textId="76D4EB00" w:rsidR="002940F3" w:rsidRPr="00A60848" w:rsidRDefault="009E2D5A">
            <w:pPr>
              <w:pStyle w:val="TableRow"/>
            </w:pPr>
            <w:r w:rsidRPr="00A60848">
              <w:t>July 202</w:t>
            </w:r>
            <w:r w:rsidR="00A60848" w:rsidRPr="00A60848">
              <w:t>5</w:t>
            </w:r>
          </w:p>
        </w:tc>
      </w:tr>
      <w:tr w:rsidR="00E153A0" w14:paraId="2A7D54C9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7" w14:textId="7605248E" w:rsidR="00E153A0" w:rsidRPr="00A60848" w:rsidRDefault="00E153A0" w:rsidP="00E153A0">
            <w:pPr>
              <w:pStyle w:val="TableRow"/>
            </w:pPr>
            <w:r w:rsidRPr="00A60848">
              <w:t>Statement authorised by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8" w14:textId="77CD7F92" w:rsidR="00E153A0" w:rsidRPr="00A60848" w:rsidRDefault="00E153A0" w:rsidP="00E153A0">
            <w:pPr>
              <w:pStyle w:val="TableRow"/>
            </w:pPr>
            <w:r w:rsidRPr="00A60848">
              <w:t xml:space="preserve">Mrs E </w:t>
            </w:r>
            <w:proofErr w:type="spellStart"/>
            <w:r w:rsidRPr="00A60848">
              <w:t>Nayler</w:t>
            </w:r>
            <w:proofErr w:type="spellEnd"/>
            <w:r w:rsidRPr="00A60848">
              <w:t xml:space="preserve"> (Headteacher)</w:t>
            </w:r>
          </w:p>
        </w:tc>
      </w:tr>
      <w:tr w:rsidR="00E153A0" w14:paraId="2A7D54CC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A" w14:textId="5DC091D2" w:rsidR="00E153A0" w:rsidRPr="00A60848" w:rsidRDefault="00E153A0" w:rsidP="00E153A0">
            <w:pPr>
              <w:pStyle w:val="TableRow"/>
            </w:pPr>
            <w:r w:rsidRPr="00A60848">
              <w:t>Pupil premium lead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B" w14:textId="21A4049E" w:rsidR="00E153A0" w:rsidRPr="00A60848" w:rsidRDefault="00E153A0" w:rsidP="00E153A0">
            <w:pPr>
              <w:pStyle w:val="TableRow"/>
            </w:pPr>
            <w:r w:rsidRPr="00A60848">
              <w:t xml:space="preserve">Mrs E </w:t>
            </w:r>
            <w:proofErr w:type="spellStart"/>
            <w:r w:rsidRPr="00A60848">
              <w:t>Nayler</w:t>
            </w:r>
            <w:proofErr w:type="spellEnd"/>
            <w:r w:rsidRPr="00A60848">
              <w:t>/Mrs L Longford</w:t>
            </w:r>
          </w:p>
        </w:tc>
      </w:tr>
      <w:tr w:rsidR="00E153A0" w14:paraId="2A7D54CF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D" w14:textId="08FA5419" w:rsidR="00E153A0" w:rsidRPr="00A60848" w:rsidRDefault="00E153A0" w:rsidP="00E153A0">
            <w:pPr>
              <w:pStyle w:val="TableRow"/>
            </w:pPr>
            <w:r w:rsidRPr="00A60848">
              <w:t xml:space="preserve">Governor </w:t>
            </w:r>
            <w:r w:rsidRPr="00A60848">
              <w:rPr>
                <w:szCs w:val="22"/>
              </w:rPr>
              <w:t xml:space="preserve">/ Trustee </w:t>
            </w:r>
            <w:r w:rsidRPr="00A60848">
              <w:t>lead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E" w14:textId="2C51EF8D" w:rsidR="00E153A0" w:rsidRPr="00A60848" w:rsidRDefault="00E153A0" w:rsidP="00E153A0">
            <w:pPr>
              <w:pStyle w:val="TableRow"/>
            </w:pPr>
            <w:r w:rsidRPr="00A60848">
              <w:t>Mr D Parker</w:t>
            </w:r>
          </w:p>
        </w:tc>
      </w:tr>
    </w:tbl>
    <w:bookmarkEnd w:id="2"/>
    <w:bookmarkEnd w:id="3"/>
    <w:bookmarkEnd w:id="4"/>
    <w:p w14:paraId="2A7D54D3" w14:textId="77777777" w:rsidR="00E66558" w:rsidRPr="005464A1" w:rsidRDefault="009D71E8" w:rsidP="005464A1">
      <w:pPr>
        <w:pStyle w:val="Heading2"/>
      </w:pPr>
      <w:r>
        <w:t>Funding overview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="00E66558" w14:paraId="2A7D54D6" w14:textId="77777777" w:rsidTr="625D1A15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4" w14:textId="77777777" w:rsidR="00E66558" w:rsidRDefault="009D71E8">
            <w:pPr>
              <w:pStyle w:val="TableRow"/>
            </w:pPr>
            <w:r>
              <w:rPr>
                <w:b/>
              </w:rPr>
              <w:t>Detail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5" w14:textId="77777777" w:rsidR="00E66558" w:rsidRDefault="009D71E8">
            <w:pPr>
              <w:pStyle w:val="TableRow"/>
            </w:pPr>
            <w:r>
              <w:rPr>
                <w:b/>
              </w:rPr>
              <w:t>Amount</w:t>
            </w:r>
          </w:p>
        </w:tc>
      </w:tr>
      <w:tr w:rsidR="00E66558" w14:paraId="2A7D54D9" w14:textId="77777777" w:rsidTr="625D1A15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7" w14:textId="77777777" w:rsidR="00E66558" w:rsidRDefault="009D71E8">
            <w:pPr>
              <w:pStyle w:val="TableRow"/>
            </w:pPr>
            <w:r>
              <w:t>Pupil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8" w14:textId="34E6807F" w:rsidR="00E66558" w:rsidRDefault="009D71E8">
            <w:pPr>
              <w:pStyle w:val="TableRow"/>
            </w:pPr>
            <w:r>
              <w:t>£</w:t>
            </w:r>
            <w:r w:rsidR="009E2D5A">
              <w:t>2</w:t>
            </w:r>
            <w:r w:rsidR="00186FCB">
              <w:t>0,35</w:t>
            </w:r>
            <w:r w:rsidR="009E2D5A">
              <w:t>0</w:t>
            </w:r>
          </w:p>
        </w:tc>
      </w:tr>
      <w:tr w:rsidR="00E66558" w14:paraId="2A7D54DF" w14:textId="77777777" w:rsidTr="625D1A15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B4CFA" w14:textId="77777777" w:rsidR="00E66558" w:rsidRPr="000D27E6" w:rsidRDefault="009D71E8" w:rsidP="009C0914">
            <w:pPr>
              <w:pStyle w:val="TableRow"/>
              <w:spacing w:after="120"/>
            </w:pPr>
            <w:r w:rsidRPr="000D27E6">
              <w:t xml:space="preserve">Pupil premium </w:t>
            </w:r>
            <w:r w:rsidR="006E0786" w:rsidRPr="000D27E6">
              <w:t>(and recovery premium</w:t>
            </w:r>
            <w:r w:rsidR="001E206F" w:rsidRPr="000D27E6">
              <w:t xml:space="preserve">*) </w:t>
            </w:r>
            <w:r w:rsidRPr="000D27E6">
              <w:t xml:space="preserve">funding carried forward from previous years </w:t>
            </w:r>
            <w:r w:rsidRPr="000D27E6">
              <w:rPr>
                <w:i/>
                <w:iCs/>
              </w:rPr>
              <w:t>(enter £0 if not applicable)</w:t>
            </w:r>
          </w:p>
          <w:p w14:paraId="2A7D54DD" w14:textId="39DC2E7A" w:rsidR="001E206F" w:rsidRPr="00BC1DAC" w:rsidRDefault="001E206F">
            <w:pPr>
              <w:pStyle w:val="TableRow"/>
              <w:rPr>
                <w:i/>
                <w:iCs/>
                <w:highlight w:val="yellow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E" w14:textId="51CCFE4C" w:rsidR="00E66558" w:rsidRDefault="009D71E8">
            <w:pPr>
              <w:pStyle w:val="TableRow"/>
            </w:pPr>
            <w:r>
              <w:t>£</w:t>
            </w:r>
            <w:r w:rsidR="000D27E6">
              <w:t>0</w:t>
            </w:r>
          </w:p>
        </w:tc>
      </w:tr>
      <w:tr w:rsidR="00E66558" w14:paraId="2A7D54E3" w14:textId="77777777" w:rsidTr="625D1A15"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0" w14:textId="77777777" w:rsidR="00E66558" w:rsidRPr="00801FE3" w:rsidRDefault="009D71E8" w:rsidP="009C0914">
            <w:pPr>
              <w:pStyle w:val="TableRow"/>
              <w:spacing w:after="120"/>
              <w:rPr>
                <w:b/>
              </w:rPr>
            </w:pPr>
            <w:r w:rsidRPr="00801FE3">
              <w:rPr>
                <w:b/>
              </w:rPr>
              <w:t>Total budget for this academic year</w:t>
            </w:r>
          </w:p>
          <w:p w14:paraId="2A7D54E1" w14:textId="77777777" w:rsidR="00E66558" w:rsidRPr="00BC1DAC" w:rsidRDefault="009D71E8">
            <w:pPr>
              <w:pStyle w:val="TableRow"/>
              <w:rPr>
                <w:i/>
                <w:iCs/>
                <w:highlight w:val="yellow"/>
              </w:rPr>
            </w:pPr>
            <w:r w:rsidRPr="00801FE3">
              <w:rPr>
                <w:i/>
                <w:iCs/>
              </w:rPr>
              <w:t>If your school is an academy in a trust that pools this funding, state the amount available to your school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2" w14:textId="2BEAFDBA" w:rsidR="00E66558" w:rsidRDefault="00186FCB">
            <w:pPr>
              <w:pStyle w:val="TableRow"/>
            </w:pPr>
            <w:r>
              <w:t>£20,350</w:t>
            </w:r>
          </w:p>
        </w:tc>
      </w:tr>
    </w:tbl>
    <w:p w14:paraId="2A7D54E4" w14:textId="77777777" w:rsidR="00E66558" w:rsidRDefault="009D71E8">
      <w:pPr>
        <w:pStyle w:val="Heading1"/>
      </w:pPr>
      <w:r>
        <w:lastRenderedPageBreak/>
        <w:t>Part A: Pupil premium strategy plan</w:t>
      </w:r>
    </w:p>
    <w:p w14:paraId="2A7D54E5" w14:textId="77777777" w:rsidR="00E66558" w:rsidRDefault="009D71E8">
      <w:pPr>
        <w:pStyle w:val="Heading2"/>
      </w:pPr>
      <w:bookmarkStart w:id="14" w:name="_Toc357771640"/>
      <w:bookmarkStart w:id="15" w:name="_Toc346793418"/>
      <w:r>
        <w:t>Statement of intent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 w14:paraId="2A7D54EA" w14:textId="77777777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83286" w14:textId="77777777" w:rsidR="00BC1DAC" w:rsidRPr="00314D02" w:rsidRDefault="00BC1DAC" w:rsidP="00BC1DAC">
            <w:pPr>
              <w:pStyle w:val="ListParagraph"/>
              <w:numPr>
                <w:ilvl w:val="0"/>
                <w:numId w:val="15"/>
              </w:numPr>
              <w:rPr>
                <w:iCs/>
              </w:rPr>
            </w:pPr>
            <w:r w:rsidRPr="00314D02">
              <w:rPr>
                <w:iCs/>
              </w:rPr>
              <w:t>High quality teaching is at the heart of our approach. We ensure that teaching and learning opportunities meet the needs of all pupils</w:t>
            </w:r>
          </w:p>
          <w:p w14:paraId="3EC74208" w14:textId="77777777" w:rsidR="00BC1DAC" w:rsidRDefault="00BC1DAC" w:rsidP="00BC1DAC">
            <w:pPr>
              <w:pStyle w:val="ListParagraph"/>
              <w:numPr>
                <w:ilvl w:val="0"/>
                <w:numId w:val="13"/>
              </w:numPr>
              <w:rPr>
                <w:iCs/>
              </w:rPr>
            </w:pPr>
            <w:r>
              <w:rPr>
                <w:iCs/>
              </w:rPr>
              <w:t>Effective spending of education recovery funding will address the needs of all pupils in order to help them to meet endpoints</w:t>
            </w:r>
          </w:p>
          <w:p w14:paraId="7D3CF06A" w14:textId="77777777" w:rsidR="00BC1DAC" w:rsidRDefault="00BC1DAC" w:rsidP="00BC1DAC">
            <w:pPr>
              <w:pStyle w:val="ListParagraph"/>
              <w:numPr>
                <w:ilvl w:val="0"/>
                <w:numId w:val="13"/>
              </w:numPr>
              <w:rPr>
                <w:iCs/>
              </w:rPr>
            </w:pPr>
            <w:r w:rsidRPr="000E3C6B">
              <w:rPr>
                <w:iCs/>
              </w:rPr>
              <w:t xml:space="preserve">Pupils eligible for PPG in year 1 make high rates of progress in phonics, reading, writing and maths from their starting points. </w:t>
            </w:r>
            <w:proofErr w:type="gramStart"/>
            <w:r w:rsidRPr="000E3C6B">
              <w:rPr>
                <w:iCs/>
              </w:rPr>
              <w:t>Pupils</w:t>
            </w:r>
            <w:proofErr w:type="gramEnd"/>
            <w:r w:rsidRPr="000E3C6B">
              <w:rPr>
                <w:iCs/>
              </w:rPr>
              <w:t xml:space="preserve"> attainment in phonics screening check is at least in line with national average</w:t>
            </w:r>
          </w:p>
          <w:p w14:paraId="25E00599" w14:textId="77777777" w:rsidR="00BC1DAC" w:rsidRPr="000E3C6B" w:rsidRDefault="00BC1DAC" w:rsidP="00BC1DAC">
            <w:pPr>
              <w:pStyle w:val="ListParagraph"/>
              <w:rPr>
                <w:iCs/>
              </w:rPr>
            </w:pPr>
            <w:r w:rsidRPr="000E3C6B">
              <w:rPr>
                <w:iCs/>
              </w:rPr>
              <w:t xml:space="preserve">Pupils eligible for PPG in year </w:t>
            </w:r>
            <w:r>
              <w:rPr>
                <w:iCs/>
              </w:rPr>
              <w:t>2 attain at least national average in reading, writing and maths unless a special need has been identified. In this case pupil attain end points</w:t>
            </w:r>
          </w:p>
          <w:p w14:paraId="1E43986C" w14:textId="77777777" w:rsidR="00BC1DAC" w:rsidRPr="00090E5A" w:rsidRDefault="00BC1DAC" w:rsidP="00BC1DAC">
            <w:pPr>
              <w:pStyle w:val="ListParagraph"/>
              <w:numPr>
                <w:ilvl w:val="0"/>
                <w:numId w:val="16"/>
              </w:numPr>
              <w:rPr>
                <w:iCs/>
              </w:rPr>
            </w:pPr>
            <w:r>
              <w:t>Pupils eligible for PPG in Y1 make high rates of progress in phonics and reading from their starting points</w:t>
            </w:r>
          </w:p>
          <w:p w14:paraId="223B38E9" w14:textId="77777777" w:rsidR="00BC1DAC" w:rsidRPr="00090E5A" w:rsidRDefault="00BC1DAC" w:rsidP="00BC1DAC">
            <w:pPr>
              <w:pStyle w:val="ListParagraph"/>
              <w:numPr>
                <w:ilvl w:val="0"/>
                <w:numId w:val="16"/>
              </w:numPr>
              <w:rPr>
                <w:iCs/>
              </w:rPr>
            </w:pPr>
            <w:r>
              <w:t xml:space="preserve">Pupils’ attainment in phonics, reading, writing and maths for pupils in KS1 eligible for PPG is at least in line with national averages </w:t>
            </w:r>
          </w:p>
          <w:p w14:paraId="5502F5AB" w14:textId="77777777" w:rsidR="00BC1DAC" w:rsidRPr="00090E5A" w:rsidRDefault="00BC1DAC" w:rsidP="00BC1DAC">
            <w:pPr>
              <w:pStyle w:val="ListParagraph"/>
              <w:numPr>
                <w:ilvl w:val="0"/>
                <w:numId w:val="0"/>
              </w:numPr>
              <w:ind w:left="720"/>
              <w:rPr>
                <w:iCs/>
              </w:rPr>
            </w:pPr>
          </w:p>
          <w:p w14:paraId="6D9795B5" w14:textId="77777777" w:rsidR="00BC1DAC" w:rsidRDefault="00BC1DAC" w:rsidP="00BC1DAC">
            <w:pPr>
              <w:pStyle w:val="ListParagraph"/>
            </w:pPr>
            <w:r>
              <w:t xml:space="preserve">KS2 progress and attainment rates in reading, writing and maths are at least in line with national averages </w:t>
            </w:r>
          </w:p>
          <w:p w14:paraId="6B5732DE" w14:textId="77777777" w:rsidR="00BC1DAC" w:rsidRDefault="00BC1DAC" w:rsidP="00BC1DAC">
            <w:pPr>
              <w:pStyle w:val="ListParagraph"/>
            </w:pPr>
            <w:r>
              <w:t xml:space="preserve">Attendance rates for pupils eligible for PPG are at least in line with the national averages </w:t>
            </w:r>
          </w:p>
          <w:p w14:paraId="0B476111" w14:textId="77777777" w:rsidR="00BC1DAC" w:rsidRDefault="00BC1DAC" w:rsidP="00BC1DAC">
            <w:pPr>
              <w:pStyle w:val="ListParagraph"/>
            </w:pPr>
            <w:r>
              <w:t xml:space="preserve">Ensure pupils eligible for PPG have all enhancements/extra-curricular opportunities </w:t>
            </w:r>
          </w:p>
          <w:p w14:paraId="4C638ABD" w14:textId="77777777" w:rsidR="00BC1DAC" w:rsidRDefault="00BC1DAC" w:rsidP="00BC1DAC">
            <w:pPr>
              <w:rPr>
                <w:b/>
                <w:iCs/>
              </w:rPr>
            </w:pPr>
            <w:r>
              <w:rPr>
                <w:b/>
                <w:iCs/>
              </w:rPr>
              <w:t>Implementation</w:t>
            </w:r>
          </w:p>
          <w:p w14:paraId="21CE4C07" w14:textId="77777777" w:rsidR="00BC1DAC" w:rsidRDefault="00BC1DAC" w:rsidP="00BC1DAC">
            <w:pPr>
              <w:pStyle w:val="ListParagraph"/>
              <w:numPr>
                <w:ilvl w:val="0"/>
                <w:numId w:val="17"/>
              </w:numPr>
              <w:rPr>
                <w:iCs/>
              </w:rPr>
            </w:pPr>
            <w:r w:rsidRPr="00BA781A">
              <w:rPr>
                <w:iCs/>
              </w:rPr>
              <w:t>Teacher-led</w:t>
            </w:r>
            <w:r>
              <w:rPr>
                <w:iCs/>
              </w:rPr>
              <w:t xml:space="preserve"> small group work with a focus on plugging identified gaps in knowledge</w:t>
            </w:r>
          </w:p>
          <w:p w14:paraId="02477A72" w14:textId="77777777" w:rsidR="00BC1DAC" w:rsidRDefault="00BC1DAC" w:rsidP="00BC1DAC">
            <w:pPr>
              <w:pStyle w:val="ListParagraph"/>
              <w:numPr>
                <w:ilvl w:val="0"/>
                <w:numId w:val="17"/>
              </w:numPr>
              <w:rPr>
                <w:iCs/>
              </w:rPr>
            </w:pPr>
            <w:r>
              <w:rPr>
                <w:iCs/>
              </w:rPr>
              <w:t>1:1 support</w:t>
            </w:r>
          </w:p>
          <w:p w14:paraId="0B3108FC" w14:textId="77777777" w:rsidR="00BC1DAC" w:rsidRDefault="00BC1DAC" w:rsidP="00BC1DAC">
            <w:pPr>
              <w:pStyle w:val="ListParagraph"/>
              <w:numPr>
                <w:ilvl w:val="0"/>
                <w:numId w:val="17"/>
              </w:numPr>
              <w:rPr>
                <w:iCs/>
              </w:rPr>
            </w:pPr>
            <w:r>
              <w:rPr>
                <w:iCs/>
              </w:rPr>
              <w:t>Provide sessions pre-school (8:30a.m.) to ensure pupils are on track to meet endpoints</w:t>
            </w:r>
          </w:p>
          <w:p w14:paraId="4DE00AB9" w14:textId="77777777" w:rsidR="00BC1DAC" w:rsidRDefault="00BC1DAC" w:rsidP="00BC1DAC">
            <w:pPr>
              <w:pStyle w:val="ListParagraph"/>
              <w:numPr>
                <w:ilvl w:val="0"/>
                <w:numId w:val="17"/>
              </w:numPr>
              <w:rPr>
                <w:iCs/>
              </w:rPr>
            </w:pPr>
            <w:r>
              <w:rPr>
                <w:iCs/>
              </w:rPr>
              <w:t xml:space="preserve">Appropriate resources purchased to meet needs including those of the more able </w:t>
            </w:r>
            <w:r w:rsidRPr="00BC1DAC">
              <w:rPr>
                <w:iCs/>
              </w:rPr>
              <w:t xml:space="preserve"> </w:t>
            </w:r>
          </w:p>
          <w:p w14:paraId="2A7D54E9" w14:textId="270833ED" w:rsidR="00E66558" w:rsidRPr="00BC1DAC" w:rsidRDefault="00BC1DAC" w:rsidP="00BC1DAC">
            <w:pPr>
              <w:pStyle w:val="ListParagraph"/>
              <w:numPr>
                <w:ilvl w:val="0"/>
                <w:numId w:val="17"/>
              </w:numPr>
              <w:rPr>
                <w:iCs/>
              </w:rPr>
            </w:pPr>
            <w:r w:rsidRPr="00BC1DAC">
              <w:rPr>
                <w:iCs/>
              </w:rPr>
              <w:t>Provide a wider range of extra-curricular/enhancements to target interests and talents for all PPG pupils including residentials, school trips and before/after school clubs</w:t>
            </w:r>
          </w:p>
        </w:tc>
      </w:tr>
    </w:tbl>
    <w:p w14:paraId="2A7D54EB" w14:textId="77777777" w:rsidR="00E66558" w:rsidRDefault="009D71E8">
      <w:pPr>
        <w:pStyle w:val="Heading2"/>
        <w:spacing w:before="600"/>
      </w:pPr>
      <w:r>
        <w:lastRenderedPageBreak/>
        <w:t>Challenges</w:t>
      </w:r>
    </w:p>
    <w:p w14:paraId="2A7D54EC" w14:textId="77777777" w:rsidR="00E66558" w:rsidRDefault="009D71E8" w:rsidP="00AA355B">
      <w:r>
        <w:rPr>
          <w:bCs/>
        </w:rPr>
        <w:t>This details</w:t>
      </w:r>
      <w:r>
        <w:t xml:space="preserve"> the key</w:t>
      </w:r>
      <w:r>
        <w:rPr>
          <w:bCs/>
        </w:rPr>
        <w:t xml:space="preserve"> </w:t>
      </w:r>
      <w:r>
        <w:t xml:space="preserve">challenges to </w:t>
      </w:r>
      <w:r>
        <w:rPr>
          <w:bCs/>
        </w:rPr>
        <w:t>achievement that we have</w:t>
      </w:r>
      <w:r>
        <w:t xml:space="preserve"> identified among </w:t>
      </w:r>
      <w:r>
        <w:rPr>
          <w:bCs/>
        </w:rPr>
        <w:t>our</w:t>
      </w:r>
      <w:r>
        <w:t xml:space="preserve"> disadvantaged pupils.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7"/>
        <w:gridCol w:w="8009"/>
      </w:tblGrid>
      <w:tr w:rsidR="00E66558" w14:paraId="2A7D54EF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D" w14:textId="77777777" w:rsidR="00E66558" w:rsidRDefault="009D71E8">
            <w:pPr>
              <w:pStyle w:val="TableHeader"/>
              <w:jc w:val="left"/>
            </w:pPr>
            <w:r>
              <w:t>Challenge number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E" w14:textId="77777777" w:rsidR="00E66558" w:rsidRDefault="009D71E8">
            <w:pPr>
              <w:pStyle w:val="TableHeader"/>
              <w:jc w:val="left"/>
            </w:pPr>
            <w:r>
              <w:t xml:space="preserve">Detail of challenge </w:t>
            </w:r>
          </w:p>
        </w:tc>
      </w:tr>
      <w:tr w:rsidR="00C30CD9" w14:paraId="2A7D54F2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0" w14:textId="5F996B17" w:rsidR="00C30CD9" w:rsidRDefault="00C30CD9" w:rsidP="00C30CD9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1" w14:textId="071D27EA" w:rsidR="00C30CD9" w:rsidRDefault="00C30CD9" w:rsidP="00C30CD9">
            <w:pPr>
              <w:pStyle w:val="TableRowCentered"/>
              <w:jc w:val="left"/>
            </w:pPr>
            <w:r>
              <w:rPr>
                <w:rFonts w:cs="Arial"/>
                <w:sz w:val="20"/>
              </w:rPr>
              <w:t>L</w:t>
            </w:r>
            <w:r w:rsidRPr="004F034A">
              <w:rPr>
                <w:rFonts w:cs="Arial"/>
                <w:sz w:val="20"/>
              </w:rPr>
              <w:t xml:space="preserve">ower attainment rates of pupils eligible for PPG in KS1 could potentially affect pupils’ ability to reach end of year expectations in </w:t>
            </w:r>
            <w:r w:rsidRPr="004F034A">
              <w:rPr>
                <w:rFonts w:cs="Arial"/>
                <w:noProof/>
                <w:sz w:val="20"/>
              </w:rPr>
              <w:t>Key Stage 2</w:t>
            </w:r>
            <w:r w:rsidRPr="004F034A">
              <w:rPr>
                <w:rFonts w:cs="Arial"/>
                <w:sz w:val="20"/>
              </w:rPr>
              <w:t>.</w:t>
            </w:r>
          </w:p>
        </w:tc>
      </w:tr>
      <w:tr w:rsidR="00C30CD9" w14:paraId="2A7D54F5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3" w14:textId="4543709C" w:rsidR="00C30CD9" w:rsidRDefault="00C30CD9" w:rsidP="00C30CD9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4" w14:textId="4743EA96" w:rsidR="00C30CD9" w:rsidRDefault="00C30CD9" w:rsidP="00C30CD9">
            <w:pPr>
              <w:pStyle w:val="TableRowCentered"/>
              <w:jc w:val="left"/>
              <w:rPr>
                <w:sz w:val="22"/>
                <w:szCs w:val="22"/>
              </w:rPr>
            </w:pPr>
            <w:r w:rsidRPr="004F034A">
              <w:rPr>
                <w:rFonts w:cs="Arial"/>
                <w:sz w:val="20"/>
              </w:rPr>
              <w:t xml:space="preserve">Lower progress rates of pupils eligible for PPG in KS1 could potentially affect pupils’ ability to reach end of year expectations in </w:t>
            </w:r>
            <w:r w:rsidRPr="004F034A">
              <w:rPr>
                <w:rFonts w:cs="Arial"/>
                <w:noProof/>
                <w:sz w:val="20"/>
              </w:rPr>
              <w:t>Key Stage 2</w:t>
            </w:r>
            <w:r w:rsidRPr="004F034A">
              <w:rPr>
                <w:rFonts w:cs="Arial"/>
                <w:sz w:val="20"/>
              </w:rPr>
              <w:t>.</w:t>
            </w:r>
          </w:p>
        </w:tc>
      </w:tr>
      <w:tr w:rsidR="00C30CD9" w14:paraId="2A7D54F8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6" w14:textId="634DCE9E" w:rsidR="00C30CD9" w:rsidRDefault="00C30CD9" w:rsidP="00C30CD9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7" w14:textId="3AFC785D" w:rsidR="00C30CD9" w:rsidRDefault="00C30CD9" w:rsidP="00C30CD9">
            <w:pPr>
              <w:pStyle w:val="TableRowCentered"/>
              <w:jc w:val="left"/>
              <w:rPr>
                <w:sz w:val="22"/>
                <w:szCs w:val="22"/>
              </w:rPr>
            </w:pPr>
            <w:r w:rsidRPr="004F034A">
              <w:rPr>
                <w:rFonts w:cs="Arial"/>
                <w:sz w:val="20"/>
              </w:rPr>
              <w:t>Low self-esteem in pupils eligible for PPG could affect attainment and progress rates by the end of Year 6.</w:t>
            </w:r>
          </w:p>
        </w:tc>
      </w:tr>
      <w:tr w:rsidR="00C30CD9" w14:paraId="2A7D54FB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9" w14:textId="27E48731" w:rsidR="00C30CD9" w:rsidRDefault="00C30CD9" w:rsidP="00C30CD9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A" w14:textId="05231F33" w:rsidR="00C30CD9" w:rsidRDefault="00C30CD9" w:rsidP="00C30CD9">
            <w:pPr>
              <w:pStyle w:val="TableRowCentered"/>
              <w:jc w:val="left"/>
              <w:rPr>
                <w:iCs/>
                <w:sz w:val="22"/>
              </w:rPr>
            </w:pPr>
            <w:r>
              <w:rPr>
                <w:rFonts w:cs="Arial"/>
                <w:sz w:val="20"/>
              </w:rPr>
              <w:t>A small group of</w:t>
            </w:r>
            <w:r w:rsidRPr="00286668">
              <w:rPr>
                <w:rFonts w:cs="Arial"/>
                <w:sz w:val="20"/>
              </w:rPr>
              <w:t xml:space="preserve"> children eligible for PPG ha</w:t>
            </w:r>
            <w:r>
              <w:rPr>
                <w:rFonts w:cs="Arial"/>
                <w:sz w:val="20"/>
              </w:rPr>
              <w:t>d</w:t>
            </w:r>
            <w:r w:rsidRPr="00286668">
              <w:rPr>
                <w:rFonts w:cs="Arial"/>
                <w:sz w:val="20"/>
              </w:rPr>
              <w:t xml:space="preserve"> attendance rates of below </w:t>
            </w:r>
            <w:r w:rsidRPr="004F034A">
              <w:rPr>
                <w:rFonts w:cs="Arial"/>
                <w:sz w:val="20"/>
              </w:rPr>
              <w:t>96%.</w:t>
            </w:r>
            <w:r>
              <w:rPr>
                <w:rFonts w:cs="Arial"/>
                <w:sz w:val="20"/>
              </w:rPr>
              <w:t xml:space="preserve"> </w:t>
            </w:r>
            <w:r w:rsidRPr="00286668">
              <w:rPr>
                <w:rFonts w:cs="Arial"/>
                <w:sz w:val="20"/>
              </w:rPr>
              <w:t xml:space="preserve">This reduces their school hours and </w:t>
            </w:r>
            <w:r>
              <w:rPr>
                <w:rFonts w:cs="Arial"/>
                <w:sz w:val="20"/>
              </w:rPr>
              <w:t>prevents them from building essential knowledge.</w:t>
            </w:r>
          </w:p>
        </w:tc>
      </w:tr>
      <w:tr w:rsidR="00C30CD9" w14:paraId="2A7D54FE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C" w14:textId="0DFA26E9" w:rsidR="00C30CD9" w:rsidRDefault="00C30CD9" w:rsidP="00C30CD9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D" w14:textId="50B3678D" w:rsidR="00C30CD9" w:rsidRDefault="00C30CD9" w:rsidP="00C30CD9">
            <w:pPr>
              <w:pStyle w:val="TableRowCentered"/>
              <w:jc w:val="left"/>
              <w:rPr>
                <w:iCs/>
                <w:sz w:val="22"/>
              </w:rPr>
            </w:pPr>
            <w:r>
              <w:rPr>
                <w:rFonts w:cs="Arial"/>
                <w:sz w:val="20"/>
              </w:rPr>
              <w:t>Reduced opportunities for extra-curricular activities for pupils eligible for PPG could result in lower cultural capital.</w:t>
            </w:r>
          </w:p>
        </w:tc>
      </w:tr>
    </w:tbl>
    <w:p w14:paraId="2A7D54FF" w14:textId="77777777" w:rsidR="00E66558" w:rsidRDefault="009D71E8">
      <w:pPr>
        <w:pStyle w:val="Heading2"/>
        <w:spacing w:before="600"/>
      </w:pPr>
      <w:bookmarkStart w:id="16" w:name="_Toc443397160"/>
      <w:r>
        <w:t xml:space="preserve">Intended outcomes </w:t>
      </w:r>
    </w:p>
    <w:p w14:paraId="2A7D5500" w14:textId="77777777" w:rsidR="00E66558" w:rsidRDefault="009D71E8">
      <w:r>
        <w:rPr>
          <w:color w:val="auto"/>
        </w:rPr>
        <w:t xml:space="preserve">This explains the outcomes we are aiming for </w:t>
      </w:r>
      <w:r>
        <w:rPr>
          <w:b/>
          <w:bCs/>
          <w:color w:val="auto"/>
        </w:rPr>
        <w:t>by the end of our current strategy plan</w:t>
      </w:r>
      <w:r>
        <w:rPr>
          <w:color w:val="auto"/>
        </w:rPr>
        <w:t>, and how we will measure whether they have been achieved.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5522"/>
      </w:tblGrid>
      <w:tr w:rsidR="00E66558" w14:paraId="2A7D5503" w14:textId="77777777" w:rsidTr="00C30CD9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1" w14:textId="77777777" w:rsidR="00E66558" w:rsidRDefault="009D71E8">
            <w:pPr>
              <w:pStyle w:val="TableHeader"/>
              <w:jc w:val="left"/>
            </w:pPr>
            <w:r>
              <w:t>Intended outcome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2" w14:textId="77777777" w:rsidR="00E66558" w:rsidRDefault="009D71E8">
            <w:pPr>
              <w:pStyle w:val="TableHeader"/>
              <w:jc w:val="left"/>
            </w:pPr>
            <w:r>
              <w:t>Success criteria</w:t>
            </w:r>
          </w:p>
        </w:tc>
      </w:tr>
      <w:tr w:rsidR="00C30CD9" w14:paraId="2A7D5506" w14:textId="77777777" w:rsidTr="00C30CD9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4" w14:textId="5D89953A" w:rsidR="00C30CD9" w:rsidRDefault="00C30CD9" w:rsidP="00C30CD9">
            <w:pPr>
              <w:pStyle w:val="TableRow"/>
            </w:pPr>
            <w:r>
              <w:t>Attainment in phonics, reading, writing and maths for pupils in KS1 eligible for PPG is at least in line with national averages for PPG pupils.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5" w14:textId="022EAB9D" w:rsidR="00C30CD9" w:rsidRDefault="00C30CD9" w:rsidP="00C30CD9">
            <w:pPr>
              <w:pStyle w:val="TableRowCentered"/>
              <w:jc w:val="left"/>
              <w:rPr>
                <w:sz w:val="22"/>
                <w:szCs w:val="22"/>
              </w:rPr>
            </w:pPr>
            <w:r w:rsidRPr="00FA75FE">
              <w:t xml:space="preserve">Pupils eligible for PPG in KS1 make rapid progress so that 100% of pupils achieve the phonics screening test by the end of Year </w:t>
            </w:r>
            <w:r>
              <w:t>1</w:t>
            </w:r>
            <w:r w:rsidRPr="00FA75FE">
              <w:t xml:space="preserve"> and </w:t>
            </w:r>
            <w:r w:rsidRPr="00911DE1">
              <w:t xml:space="preserve">at </w:t>
            </w:r>
            <w:r w:rsidRPr="00F73584">
              <w:t>least 90%</w:t>
            </w:r>
            <w:r w:rsidRPr="00FA75FE">
              <w:t xml:space="preserve"> meet age related expectations in reading, writing and maths by the end of year 2.</w:t>
            </w:r>
          </w:p>
        </w:tc>
      </w:tr>
      <w:tr w:rsidR="00C30CD9" w14:paraId="2A7D5509" w14:textId="77777777" w:rsidTr="00C30CD9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7" w14:textId="537A5BD5" w:rsidR="00C30CD9" w:rsidRDefault="00C30CD9" w:rsidP="00C30CD9">
            <w:pPr>
              <w:pStyle w:val="TableRow"/>
              <w:rPr>
                <w:sz w:val="22"/>
                <w:szCs w:val="22"/>
              </w:rPr>
            </w:pPr>
            <w:r w:rsidRPr="00901E7F">
              <w:t xml:space="preserve">KS2 progress and attainment rates in reading, writing and maths are at least in line with national averages for PPG pupils. By 2024/25, disadvantaged pupils are at least in line with national average attainment and progress measures at the end of KS2.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8" w14:textId="1821E442" w:rsidR="00C30CD9" w:rsidRDefault="00C30CD9" w:rsidP="00C30CD9">
            <w:pPr>
              <w:pStyle w:val="TableRowCentered"/>
              <w:jc w:val="left"/>
              <w:rPr>
                <w:sz w:val="22"/>
                <w:szCs w:val="22"/>
              </w:rPr>
            </w:pPr>
            <w:r w:rsidRPr="00911DE1">
              <w:t>At least 90%</w:t>
            </w:r>
            <w:r>
              <w:t xml:space="preserve"> of p</w:t>
            </w:r>
            <w:r w:rsidRPr="00FA75FE">
              <w:t xml:space="preserve">upils eligible for PPG in </w:t>
            </w:r>
            <w:r>
              <w:t>KS2</w:t>
            </w:r>
            <w:r w:rsidRPr="00FA75FE">
              <w:t xml:space="preserve"> meet age related expectations in reading, writing and maths</w:t>
            </w:r>
            <w:r>
              <w:t xml:space="preserve"> by the end of year 6 unless </w:t>
            </w:r>
            <w:r w:rsidRPr="00F73584">
              <w:t>there is a specific SEND need.</w:t>
            </w:r>
          </w:p>
        </w:tc>
      </w:tr>
      <w:tr w:rsidR="00C30CD9" w14:paraId="2A7D550C" w14:textId="77777777" w:rsidTr="00C30CD9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A" w14:textId="673E7557" w:rsidR="00C30CD9" w:rsidRDefault="00C30CD9" w:rsidP="00C30CD9">
            <w:pPr>
              <w:pStyle w:val="TableRow"/>
              <w:rPr>
                <w:sz w:val="22"/>
                <w:szCs w:val="22"/>
              </w:rPr>
            </w:pPr>
            <w:r>
              <w:t>Attendance rates for pupils eligible for PPG are at least in line with the national averages for PPG pupils.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B" w14:textId="622881BD" w:rsidR="00C30CD9" w:rsidRDefault="00C30CD9" w:rsidP="00C30CD9">
            <w:pPr>
              <w:pStyle w:val="TableRowCentered"/>
              <w:jc w:val="left"/>
              <w:rPr>
                <w:sz w:val="22"/>
                <w:szCs w:val="22"/>
              </w:rPr>
            </w:pPr>
            <w:r w:rsidRPr="00FA75FE">
              <w:t xml:space="preserve">Reduction in the number of absences among pupils eligible for PPG. Overall disadvantaged attendance improves from </w:t>
            </w:r>
            <w:r w:rsidRPr="00F60209">
              <w:t>below 94%</w:t>
            </w:r>
            <w:r w:rsidRPr="00FA75FE">
              <w:t xml:space="preserve"> to at least in line with other groups of pupils (9</w:t>
            </w:r>
            <w:r>
              <w:t>7</w:t>
            </w:r>
            <w:r w:rsidRPr="00FA75FE">
              <w:t>%).</w:t>
            </w:r>
          </w:p>
        </w:tc>
      </w:tr>
      <w:tr w:rsidR="00C30CD9" w14:paraId="2A7D550F" w14:textId="77777777" w:rsidTr="00C30CD9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62885" w14:textId="77777777" w:rsidR="00C30CD9" w:rsidRDefault="00C30CD9" w:rsidP="00C30CD9">
            <w:pPr>
              <w:rPr>
                <w:rFonts w:cs="Arial"/>
              </w:rPr>
            </w:pPr>
            <w:r>
              <w:t>P</w:t>
            </w:r>
            <w:r w:rsidRPr="007105B3">
              <w:t xml:space="preserve">rovide financial support for appropriate </w:t>
            </w:r>
            <w:r>
              <w:t xml:space="preserve">educational activities, </w:t>
            </w:r>
            <w:r w:rsidRPr="007105B3">
              <w:t xml:space="preserve">extra-curricular activities, enhancement activities, visits </w:t>
            </w:r>
            <w:r>
              <w:t xml:space="preserve">(when possible) </w:t>
            </w:r>
            <w:r w:rsidRPr="007105B3">
              <w:t xml:space="preserve">and before and </w:t>
            </w:r>
            <w:r w:rsidRPr="007105B3">
              <w:lastRenderedPageBreak/>
              <w:t>after school provision</w:t>
            </w:r>
            <w:r>
              <w:t xml:space="preserve"> to</w:t>
            </w:r>
            <w:r>
              <w:rPr>
                <w:rFonts w:cs="Arial"/>
              </w:rPr>
              <w:t xml:space="preserve"> i</w:t>
            </w:r>
            <w:r w:rsidRPr="000A4A31">
              <w:rPr>
                <w:rFonts w:cs="Arial"/>
              </w:rPr>
              <w:t>ncreased extra-curricular opportunities for pupils eligible for PPG</w:t>
            </w:r>
            <w:r>
              <w:rPr>
                <w:rFonts w:cs="Arial"/>
              </w:rPr>
              <w:t>.</w:t>
            </w:r>
          </w:p>
          <w:p w14:paraId="2A7D550D" w14:textId="77777777" w:rsidR="00C30CD9" w:rsidRDefault="00C30CD9" w:rsidP="00C30CD9">
            <w:pPr>
              <w:pStyle w:val="TableRow"/>
              <w:rPr>
                <w:sz w:val="22"/>
                <w:szCs w:val="22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E" w14:textId="524D4FA1" w:rsidR="00C30CD9" w:rsidRDefault="00C30CD9" w:rsidP="00C30CD9">
            <w:pPr>
              <w:pStyle w:val="TableRowCentered"/>
              <w:jc w:val="left"/>
              <w:rPr>
                <w:sz w:val="22"/>
                <w:szCs w:val="22"/>
              </w:rPr>
            </w:pPr>
            <w:r w:rsidRPr="00FA75FE">
              <w:rPr>
                <w:sz w:val="22"/>
                <w:szCs w:val="22"/>
              </w:rPr>
              <w:lastRenderedPageBreak/>
              <w:t>Greater uptake of pupils eligible for PPG attending before and after-school provision.</w:t>
            </w:r>
          </w:p>
        </w:tc>
      </w:tr>
      <w:tr w:rsidR="00C30CD9" w14:paraId="71D80CF6" w14:textId="77777777" w:rsidTr="00C30CD9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D8979" w14:textId="095CACEC" w:rsidR="00C30CD9" w:rsidRDefault="00C30CD9" w:rsidP="00C30CD9">
            <w:r w:rsidRPr="00485A2A">
              <w:rPr>
                <w:rFonts w:cs="Arial"/>
              </w:rPr>
              <w:t>Improved social and emotional skills and self-esteem for all pupils including those eligible for PPG.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FBB7A" w14:textId="436292E8" w:rsidR="00C30CD9" w:rsidRPr="00FA75FE" w:rsidRDefault="00C30CD9" w:rsidP="00C30CD9">
            <w:pPr>
              <w:pStyle w:val="TableRowCentered"/>
              <w:jc w:val="left"/>
              <w:rPr>
                <w:sz w:val="22"/>
                <w:szCs w:val="22"/>
              </w:rPr>
            </w:pPr>
            <w:r w:rsidRPr="00911DE1">
              <w:rPr>
                <w:sz w:val="22"/>
                <w:szCs w:val="22"/>
              </w:rPr>
              <w:t>More confident pupils who are independent learners. Pupils will demonstrate resilience and good learning behaviours which will enable them to establish good mental health and well-being.</w:t>
            </w:r>
          </w:p>
        </w:tc>
      </w:tr>
    </w:tbl>
    <w:p w14:paraId="2A7D5512" w14:textId="52504B81" w:rsidR="00E66558" w:rsidRDefault="009D71E8">
      <w:pPr>
        <w:pStyle w:val="Heading2"/>
      </w:pPr>
      <w:r>
        <w:t>Activity in this academic year</w:t>
      </w:r>
    </w:p>
    <w:p w14:paraId="2A7D5513" w14:textId="603E7BD1" w:rsidR="00E66558" w:rsidRDefault="009D71E8">
      <w:pPr>
        <w:spacing w:after="480"/>
      </w:pPr>
      <w:r>
        <w:t>This details how we intend to spend our pupil premium (and recovery premium</w:t>
      </w:r>
      <w:r w:rsidR="00A112B5">
        <w:t>)</w:t>
      </w:r>
      <w:r>
        <w:t xml:space="preserve"> funding </w:t>
      </w:r>
      <w:r>
        <w:rPr>
          <w:b/>
          <w:bCs/>
        </w:rPr>
        <w:t>this academic year</w:t>
      </w:r>
      <w:r>
        <w:t xml:space="preserve"> to address the challenges listed above.</w:t>
      </w:r>
    </w:p>
    <w:p w14:paraId="2A7D5514" w14:textId="77777777" w:rsidR="00E66558" w:rsidRDefault="009D71E8">
      <w:pPr>
        <w:pStyle w:val="Heading3"/>
      </w:pPr>
      <w:r>
        <w:t>Teaching (for example, CPD, recruitment and retention)</w:t>
      </w:r>
    </w:p>
    <w:p w14:paraId="2A7D5515" w14:textId="3EFE793B" w:rsidR="00E66558" w:rsidRDefault="009D71E8">
      <w:r>
        <w:t>Budgeted cost: £</w:t>
      </w:r>
      <w:r w:rsidR="004E5B9A">
        <w:t>0</w:t>
      </w:r>
      <w:r>
        <w:t xml:space="preserve"> 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5245"/>
        <w:gridCol w:w="1694"/>
      </w:tblGrid>
      <w:tr w:rsidR="00E66558" w14:paraId="2A7D5519" w14:textId="77777777" w:rsidTr="00A123E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6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7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8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A123EF" w14:paraId="2A7D551D" w14:textId="77777777" w:rsidTr="00A123E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A" w14:textId="3C496D52" w:rsidR="00A123EF" w:rsidRPr="0026490A" w:rsidRDefault="00A123EF" w:rsidP="004C65DD">
            <w:pPr>
              <w:pStyle w:val="TableRow"/>
            </w:pPr>
            <w:r w:rsidRPr="0026490A">
              <w:rPr>
                <w:iCs/>
                <w:sz w:val="22"/>
                <w:szCs w:val="22"/>
              </w:rPr>
              <w:t xml:space="preserve">Ongoing </w:t>
            </w:r>
            <w:proofErr w:type="spellStart"/>
            <w:r w:rsidR="004C65DD">
              <w:rPr>
                <w:iCs/>
                <w:sz w:val="22"/>
                <w:szCs w:val="22"/>
              </w:rPr>
              <w:t>ShREC</w:t>
            </w:r>
            <w:proofErr w:type="spellEnd"/>
            <w:r w:rsidRPr="0026490A">
              <w:rPr>
                <w:iCs/>
                <w:sz w:val="22"/>
                <w:szCs w:val="22"/>
              </w:rPr>
              <w:t xml:space="preserve"> </w:t>
            </w:r>
            <w:r w:rsidR="004C65DD">
              <w:rPr>
                <w:iCs/>
                <w:sz w:val="22"/>
                <w:szCs w:val="22"/>
              </w:rPr>
              <w:t xml:space="preserve">approach </w:t>
            </w:r>
            <w:r w:rsidRPr="0026490A">
              <w:rPr>
                <w:iCs/>
                <w:sz w:val="22"/>
                <w:szCs w:val="22"/>
              </w:rPr>
              <w:t>training for staff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B432D" w14:textId="5DC7D0CA" w:rsidR="004C65DD" w:rsidRDefault="004C65DD" w:rsidP="004C65DD">
            <w:pPr>
              <w:pStyle w:val="TableRowCentered"/>
              <w:jc w:val="left"/>
              <w:rPr>
                <w:sz w:val="22"/>
              </w:rPr>
            </w:pPr>
            <w:r w:rsidRPr="00C06112">
              <w:rPr>
                <w:sz w:val="22"/>
              </w:rPr>
              <w:t xml:space="preserve">Research conducted by the Education Endowment Foundation </w:t>
            </w:r>
            <w:r>
              <w:rPr>
                <w:sz w:val="22"/>
              </w:rPr>
              <w:t>stresses the importance of providing</w:t>
            </w:r>
            <w:r w:rsidRPr="004C65DD">
              <w:rPr>
                <w:sz w:val="22"/>
              </w:rPr>
              <w:t xml:space="preserve"> early years professionals with a simple and memorable set of specific evidence informed strategies that can be embedded into everyday practice.</w:t>
            </w:r>
          </w:p>
          <w:p w14:paraId="2A7D551B" w14:textId="6FBCE5D1" w:rsidR="00A123EF" w:rsidRPr="0026490A" w:rsidRDefault="00CB2D8E" w:rsidP="004C65DD">
            <w:pPr>
              <w:pStyle w:val="TableRowCentered"/>
              <w:jc w:val="left"/>
              <w:rPr>
                <w:sz w:val="22"/>
              </w:rPr>
            </w:pPr>
            <w:hyperlink r:id="rId7" w:history="1">
              <w:r w:rsidR="004C65DD" w:rsidRPr="0070530F">
                <w:rPr>
                  <w:rStyle w:val="Hyperlink"/>
                  <w:sz w:val="22"/>
                </w:rPr>
                <w:t>https://educationendowmentfoundation.org.uk/news/eef-blog-the-shrec-approach-4-evidence-informed-strategies-to-promote-high-quality-interactions-with-young-children</w:t>
              </w:r>
            </w:hyperlink>
            <w:r w:rsidR="00A123EF" w:rsidRPr="0026490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C" w14:textId="40962848" w:rsidR="00A123EF" w:rsidRPr="0026490A" w:rsidRDefault="00A123EF" w:rsidP="00A123EF">
            <w:pPr>
              <w:pStyle w:val="TableRowCentered"/>
              <w:jc w:val="left"/>
              <w:rPr>
                <w:sz w:val="22"/>
              </w:rPr>
            </w:pPr>
            <w:r w:rsidRPr="0026490A">
              <w:rPr>
                <w:sz w:val="22"/>
              </w:rPr>
              <w:t>1, 2</w:t>
            </w:r>
          </w:p>
        </w:tc>
      </w:tr>
      <w:tr w:rsidR="00A123EF" w14:paraId="2A7D5521" w14:textId="77777777" w:rsidTr="00A123E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8573B" w14:textId="77777777" w:rsidR="00A123EF" w:rsidRDefault="00A123EF" w:rsidP="00A123EF">
            <w:pPr>
              <w:pStyle w:val="TableRow"/>
              <w:rPr>
                <w:i/>
                <w:sz w:val="22"/>
                <w:highlight w:val="yellow"/>
              </w:rPr>
            </w:pPr>
          </w:p>
          <w:p w14:paraId="2A7D551E" w14:textId="1A86EC6A" w:rsidR="0026490A" w:rsidRPr="00A123EF" w:rsidRDefault="0026490A" w:rsidP="00A123EF">
            <w:pPr>
              <w:pStyle w:val="TableRow"/>
              <w:rPr>
                <w:i/>
                <w:sz w:val="22"/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F" w14:textId="208146D4" w:rsidR="00A123EF" w:rsidRPr="00A123EF" w:rsidRDefault="00A123EF" w:rsidP="00A123EF">
            <w:pPr>
              <w:pStyle w:val="TableRowCentered"/>
              <w:jc w:val="left"/>
              <w:rPr>
                <w:sz w:val="22"/>
                <w:highlight w:val="yellow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0" w14:textId="0ACAC8AD" w:rsidR="00A123EF" w:rsidRPr="00A123EF" w:rsidRDefault="00A123EF" w:rsidP="00A123EF">
            <w:pPr>
              <w:pStyle w:val="TableRowCentered"/>
              <w:jc w:val="left"/>
              <w:rPr>
                <w:sz w:val="22"/>
                <w:highlight w:val="yellow"/>
              </w:rPr>
            </w:pPr>
          </w:p>
        </w:tc>
      </w:tr>
    </w:tbl>
    <w:p w14:paraId="2A7D5523" w14:textId="5B2BE35F" w:rsidR="00E66558" w:rsidRPr="00AA355B" w:rsidRDefault="009D71E8" w:rsidP="00AA355B">
      <w:pPr>
        <w:pStyle w:val="Heading3"/>
      </w:pPr>
      <w:r>
        <w:t xml:space="preserve">Targeted academic support (for example, </w:t>
      </w:r>
      <w:r w:rsidR="00D33FE5">
        <w:t>tutoring, one-to-one support</w:t>
      </w:r>
      <w:r w:rsidR="00F776E1">
        <w:t>,</w:t>
      </w:r>
      <w:r w:rsidR="00D33FE5">
        <w:t xml:space="preserve"> </w:t>
      </w:r>
      <w:r>
        <w:t xml:space="preserve">structured interventions) </w:t>
      </w:r>
    </w:p>
    <w:p w14:paraId="2A7D5524" w14:textId="3B873D19" w:rsidR="00E66558" w:rsidRDefault="009D71E8">
      <w:r>
        <w:t>Budgeted cost: £</w:t>
      </w:r>
      <w:r w:rsidR="00790357">
        <w:t>1</w:t>
      </w:r>
      <w:r w:rsidR="00096CCA">
        <w:t>4</w:t>
      </w:r>
      <w:r w:rsidR="00206C20">
        <w:t>,565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5"/>
        <w:gridCol w:w="5685"/>
        <w:gridCol w:w="1836"/>
      </w:tblGrid>
      <w:tr w:rsidR="00E66558" w14:paraId="2A7D5528" w14:textId="77777777" w:rsidTr="00A123EF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5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6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7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A123EF" w14:paraId="2A7D552C" w14:textId="77777777" w:rsidTr="00A123EF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06538" w14:textId="77777777" w:rsidR="00A123EF" w:rsidRPr="00C06112" w:rsidRDefault="00A123EF" w:rsidP="00A123EF">
            <w:pPr>
              <w:pStyle w:val="TableRow"/>
              <w:rPr>
                <w:iCs/>
                <w:sz w:val="22"/>
                <w:szCs w:val="22"/>
              </w:rPr>
            </w:pPr>
            <w:r w:rsidRPr="00C06112">
              <w:rPr>
                <w:iCs/>
                <w:sz w:val="22"/>
                <w:szCs w:val="22"/>
              </w:rPr>
              <w:t>Part-funding of staff for additional interventions/bo</w:t>
            </w:r>
            <w:r w:rsidRPr="00C06112">
              <w:rPr>
                <w:iCs/>
                <w:sz w:val="22"/>
                <w:szCs w:val="22"/>
              </w:rPr>
              <w:lastRenderedPageBreak/>
              <w:t>oster sessions offering small group or 1:1 support:</w:t>
            </w:r>
          </w:p>
          <w:p w14:paraId="5FD81937" w14:textId="77777777" w:rsidR="00A123EF" w:rsidRPr="00C06112" w:rsidRDefault="00A123EF" w:rsidP="00A123EF">
            <w:pPr>
              <w:pStyle w:val="TableRow"/>
              <w:numPr>
                <w:ilvl w:val="0"/>
                <w:numId w:val="18"/>
              </w:numPr>
            </w:pPr>
            <w:r>
              <w:rPr>
                <w:sz w:val="22"/>
              </w:rPr>
              <w:t>s</w:t>
            </w:r>
            <w:r w:rsidRPr="00C06112">
              <w:rPr>
                <w:sz w:val="22"/>
              </w:rPr>
              <w:t>ame day interventions</w:t>
            </w:r>
            <w:r>
              <w:rPr>
                <w:sz w:val="22"/>
              </w:rPr>
              <w:t xml:space="preserve"> in maths, reading and writing provided by teacher/teaching assistant</w:t>
            </w:r>
          </w:p>
          <w:p w14:paraId="004C4733" w14:textId="77777777" w:rsidR="00A123EF" w:rsidRPr="002D31CF" w:rsidRDefault="00A123EF" w:rsidP="00A123EF">
            <w:pPr>
              <w:pStyle w:val="TableRow"/>
              <w:numPr>
                <w:ilvl w:val="0"/>
                <w:numId w:val="18"/>
              </w:numPr>
            </w:pPr>
            <w:r w:rsidRPr="008D4490">
              <w:rPr>
                <w:sz w:val="22"/>
              </w:rPr>
              <w:t>daily phonic/reading/ spelling interventions provided by teacher/teaching assistant in EYFS, KS1 and KS2</w:t>
            </w:r>
          </w:p>
          <w:p w14:paraId="2A7D5529" w14:textId="09541871" w:rsidR="00A123EF" w:rsidRDefault="00A123EF" w:rsidP="00A123EF">
            <w:pPr>
              <w:pStyle w:val="TableRow"/>
            </w:pPr>
            <w:r>
              <w:rPr>
                <w:sz w:val="22"/>
              </w:rPr>
              <w:t>1:1 teaching assistant support where relevant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A6145" w14:textId="77777777" w:rsidR="00A123EF" w:rsidRDefault="00A123EF" w:rsidP="00A123EF">
            <w:pPr>
              <w:pStyle w:val="TableRowCentered"/>
              <w:jc w:val="left"/>
              <w:rPr>
                <w:sz w:val="22"/>
              </w:rPr>
            </w:pPr>
            <w:r w:rsidRPr="00C06112">
              <w:rPr>
                <w:sz w:val="22"/>
              </w:rPr>
              <w:lastRenderedPageBreak/>
              <w:t xml:space="preserve">Research conducted by the Education Endowment Foundation shows that providing high quality and timely feedback helps pupils make 6 months’ additional progress. </w:t>
            </w:r>
            <w:hyperlink r:id="rId8" w:history="1">
              <w:r w:rsidRPr="00C06112">
                <w:rPr>
                  <w:rStyle w:val="Hyperlink"/>
                  <w:sz w:val="22"/>
                </w:rPr>
                <w:t>https://educationendowmentfoundation.org.uk/educationevidence/teaching-learning-toolkit/feedback</w:t>
              </w:r>
            </w:hyperlink>
          </w:p>
          <w:p w14:paraId="2CB28174" w14:textId="77777777" w:rsidR="00A123EF" w:rsidRDefault="00A123EF" w:rsidP="00A123EF">
            <w:pPr>
              <w:pStyle w:val="TableRowCentered"/>
              <w:jc w:val="left"/>
              <w:rPr>
                <w:sz w:val="22"/>
              </w:rPr>
            </w:pPr>
          </w:p>
          <w:p w14:paraId="112EF40D" w14:textId="77777777" w:rsidR="00A123EF" w:rsidRPr="00C06112" w:rsidRDefault="00A123EF" w:rsidP="00A123EF">
            <w:pPr>
              <w:pStyle w:val="TableRowCentered"/>
              <w:tabs>
                <w:tab w:val="center" w:pos="2019"/>
              </w:tabs>
              <w:jc w:val="left"/>
              <w:rPr>
                <w:sz w:val="22"/>
                <w:szCs w:val="22"/>
              </w:rPr>
            </w:pPr>
            <w:r w:rsidRPr="00C06112">
              <w:rPr>
                <w:sz w:val="22"/>
                <w:szCs w:val="22"/>
              </w:rPr>
              <w:t>Research conducted by the Education Endowment Foundation shows that providing timely phonics intervention helps pupils make 5 months’ additional progress.</w:t>
            </w:r>
          </w:p>
          <w:p w14:paraId="5155481A" w14:textId="77777777" w:rsidR="00A123EF" w:rsidRDefault="00CB2D8E" w:rsidP="00A123EF">
            <w:pPr>
              <w:pStyle w:val="TableRowCentered"/>
              <w:jc w:val="left"/>
              <w:rPr>
                <w:sz w:val="22"/>
              </w:rPr>
            </w:pPr>
            <w:hyperlink r:id="rId9" w:history="1">
              <w:r w:rsidR="00A123EF" w:rsidRPr="00C06112">
                <w:rPr>
                  <w:rStyle w:val="Hyperlink"/>
                  <w:sz w:val="22"/>
                  <w:szCs w:val="22"/>
                </w:rPr>
                <w:t>https://educationendowmentfoundation.org.uk/educationevidence/teaching-learning-toolkit/phonics</w:t>
              </w:r>
            </w:hyperlink>
            <w:r w:rsidR="00A123EF" w:rsidRPr="00C06112">
              <w:rPr>
                <w:sz w:val="22"/>
              </w:rPr>
              <w:t xml:space="preserve"> </w:t>
            </w:r>
          </w:p>
          <w:p w14:paraId="2A7D552A" w14:textId="4FBBDBD2" w:rsidR="00A123EF" w:rsidRDefault="00A123EF" w:rsidP="00A123EF">
            <w:pPr>
              <w:pStyle w:val="TableRowCentered"/>
              <w:jc w:val="left"/>
              <w:rPr>
                <w:sz w:val="22"/>
              </w:rPr>
            </w:pPr>
            <w:r w:rsidRPr="00AC635A">
              <w:rPr>
                <w:sz w:val="22"/>
              </w:rPr>
              <w:t xml:space="preserve">Research conducted by the Education Endowment Foundation shows that providing small group tuition and individualised instruction helps pupils make 4 months’ additional progress. </w:t>
            </w:r>
            <w:hyperlink r:id="rId10" w:history="1">
              <w:r w:rsidRPr="009B4EC1">
                <w:rPr>
                  <w:rStyle w:val="Hyperlink"/>
                  <w:sz w:val="22"/>
                </w:rPr>
                <w:t>https://educationendowmentfoundation.org.uk/educationevidence/teaching-learning-toolkit/small-group-tuition</w:t>
              </w:r>
            </w:hyperlink>
            <w:r>
              <w:rPr>
                <w:sz w:val="22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B" w14:textId="74ECE0FA" w:rsidR="00A123EF" w:rsidRDefault="00A123EF" w:rsidP="00A123E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1, 2</w:t>
            </w:r>
          </w:p>
        </w:tc>
      </w:tr>
      <w:tr w:rsidR="00A123EF" w14:paraId="5E46BA60" w14:textId="77777777" w:rsidTr="00A123EF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A19F5" w14:textId="3E7FC0EB" w:rsidR="00A123EF" w:rsidRDefault="00A123EF" w:rsidP="00A123EF">
            <w:pPr>
              <w:pStyle w:val="TableRow"/>
              <w:rPr>
                <w:i/>
                <w:iCs/>
                <w:sz w:val="22"/>
                <w:szCs w:val="22"/>
              </w:rPr>
            </w:pPr>
            <w:r>
              <w:rPr>
                <w:sz w:val="22"/>
              </w:rPr>
              <w:t>Reading Plus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28F4B" w14:textId="4618D901" w:rsidR="00A123EF" w:rsidRDefault="00A123EF" w:rsidP="00A123EF">
            <w:pPr>
              <w:pStyle w:val="TableRowCentered"/>
              <w:jc w:val="left"/>
              <w:rPr>
                <w:sz w:val="22"/>
              </w:rPr>
            </w:pPr>
            <w:r w:rsidRPr="008D4490">
              <w:rPr>
                <w:sz w:val="22"/>
              </w:rPr>
              <w:t xml:space="preserve">Research conducted by the Education Endowment Foundation shows that providing reading comprehension interventions helps pupils make 6 months’ additional progress. </w:t>
            </w:r>
            <w:hyperlink r:id="rId11" w:history="1">
              <w:r w:rsidRPr="009B4EC1">
                <w:rPr>
                  <w:rStyle w:val="Hyperlink"/>
                  <w:sz w:val="22"/>
                </w:rPr>
                <w:t>https://educationendowmentfoundation.org.uk/educationevidence/teaching-learning-toolkit/readingcomprehension-strategies</w:t>
              </w:r>
            </w:hyperlink>
            <w:r>
              <w:rPr>
                <w:sz w:val="22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E811" w14:textId="4249C8D7" w:rsidR="00A123EF" w:rsidRDefault="00A123EF" w:rsidP="00A123E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A123EF" w14:paraId="6C8D03EA" w14:textId="77777777" w:rsidTr="00A123EF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6CBD8" w14:textId="23AAB2E7" w:rsidR="00A123EF" w:rsidRDefault="00A123EF" w:rsidP="00A123EF">
            <w:pPr>
              <w:pStyle w:val="TableRow"/>
              <w:rPr>
                <w:i/>
                <w:iCs/>
                <w:sz w:val="22"/>
                <w:szCs w:val="22"/>
              </w:rPr>
            </w:pPr>
            <w:r>
              <w:rPr>
                <w:sz w:val="22"/>
              </w:rPr>
              <w:t>Supplemented weekly 1 hour 1:1 tuition: Third Space Learning (maths)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71E46" w14:textId="669E16BE" w:rsidR="00A123EF" w:rsidRDefault="00A123EF" w:rsidP="00A123EF">
            <w:pPr>
              <w:pStyle w:val="TableRowCentered"/>
              <w:jc w:val="left"/>
              <w:rPr>
                <w:sz w:val="22"/>
              </w:rPr>
            </w:pPr>
            <w:r w:rsidRPr="008D4490">
              <w:rPr>
                <w:sz w:val="22"/>
              </w:rPr>
              <w:t xml:space="preserve">Research conducted by the Education Endowment Foundation shows that providing 1:1 tuition intervention helps pupils make 5 months’ additional progress. </w:t>
            </w:r>
            <w:r>
              <w:rPr>
                <w:sz w:val="22"/>
              </w:rPr>
              <w:t xml:space="preserve">Research shows that individual tuition builds confidence, </w:t>
            </w:r>
            <w:hyperlink r:id="rId12" w:history="1">
              <w:r w:rsidRPr="008D4490">
                <w:rPr>
                  <w:rStyle w:val="Hyperlink"/>
                  <w:sz w:val="22"/>
                </w:rPr>
                <w:t>https://educationendowmentfoundation.org.uk/educationevidence/teaching-learning-toolkit/one-to-one-tuition</w:t>
              </w:r>
            </w:hyperlink>
            <w:r w:rsidRPr="008D4490">
              <w:rPr>
                <w:sz w:val="22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12032" w14:textId="59DB5428" w:rsidR="00A123EF" w:rsidRDefault="00A123EF" w:rsidP="00A123E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</w:tbl>
    <w:p w14:paraId="2A7D5532" w14:textId="59A68BC3" w:rsidR="00E66558" w:rsidRPr="00AA355B" w:rsidRDefault="009D71E8" w:rsidP="00AA355B">
      <w:pPr>
        <w:pStyle w:val="Heading3"/>
      </w:pPr>
      <w:r>
        <w:t>Wider strategies (for example, related to attendance, behaviour, wellbeing)</w:t>
      </w:r>
    </w:p>
    <w:p w14:paraId="2A7D5533" w14:textId="488E4403" w:rsidR="00E66558" w:rsidRDefault="009D71E8">
      <w:pPr>
        <w:spacing w:before="240" w:after="120"/>
      </w:pPr>
      <w:r>
        <w:t>Budgeted cost: £</w:t>
      </w:r>
      <w:r w:rsidR="004E5B9A">
        <w:t>5,785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5387"/>
        <w:gridCol w:w="1836"/>
      </w:tblGrid>
      <w:tr w:rsidR="00E66558" w14:paraId="2A7D5537" w14:textId="77777777" w:rsidTr="00A123EF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4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5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6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A123EF" w14:paraId="2A7D553B" w14:textId="77777777" w:rsidTr="00A123EF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CB8B1" w14:textId="77777777" w:rsidR="00A123EF" w:rsidRPr="000D42FB" w:rsidRDefault="00A123EF" w:rsidP="00A123EF">
            <w:pPr>
              <w:pStyle w:val="TableRow"/>
              <w:rPr>
                <w:sz w:val="22"/>
              </w:rPr>
            </w:pPr>
            <w:r>
              <w:rPr>
                <w:sz w:val="22"/>
              </w:rPr>
              <w:t>Part-funded b</w:t>
            </w:r>
            <w:r w:rsidRPr="000D42FB">
              <w:rPr>
                <w:sz w:val="22"/>
              </w:rPr>
              <w:t xml:space="preserve">efore and after school clubs to enhance </w:t>
            </w:r>
            <w:r w:rsidRPr="000D42FB">
              <w:rPr>
                <w:sz w:val="22"/>
              </w:rPr>
              <w:lastRenderedPageBreak/>
              <w:t>learning and social opportunities:</w:t>
            </w:r>
          </w:p>
          <w:p w14:paraId="0F965836" w14:textId="77777777" w:rsidR="00A123EF" w:rsidRPr="000D42FB" w:rsidRDefault="00A123EF" w:rsidP="00A123EF">
            <w:pPr>
              <w:pStyle w:val="TableRow"/>
              <w:numPr>
                <w:ilvl w:val="0"/>
                <w:numId w:val="19"/>
              </w:numPr>
              <w:spacing w:before="0" w:after="0"/>
              <w:rPr>
                <w:sz w:val="22"/>
              </w:rPr>
            </w:pPr>
            <w:r w:rsidRPr="000D42FB">
              <w:rPr>
                <w:sz w:val="22"/>
              </w:rPr>
              <w:t>Breakfast Club</w:t>
            </w:r>
          </w:p>
          <w:p w14:paraId="15C2D77A" w14:textId="77777777" w:rsidR="00A123EF" w:rsidRPr="000D42FB" w:rsidRDefault="00A123EF" w:rsidP="00A123EF">
            <w:pPr>
              <w:pStyle w:val="TableRow"/>
              <w:numPr>
                <w:ilvl w:val="0"/>
                <w:numId w:val="19"/>
              </w:numPr>
              <w:spacing w:before="0" w:after="0"/>
              <w:rPr>
                <w:sz w:val="22"/>
              </w:rPr>
            </w:pPr>
            <w:r w:rsidRPr="000D42FB">
              <w:rPr>
                <w:sz w:val="22"/>
              </w:rPr>
              <w:t xml:space="preserve">Cedar Club </w:t>
            </w:r>
          </w:p>
          <w:p w14:paraId="6ED11E36" w14:textId="77777777" w:rsidR="00A123EF" w:rsidRPr="000D42FB" w:rsidRDefault="00A123EF" w:rsidP="00A123EF">
            <w:pPr>
              <w:pStyle w:val="TableRow"/>
              <w:numPr>
                <w:ilvl w:val="0"/>
                <w:numId w:val="19"/>
              </w:numPr>
              <w:spacing w:before="0" w:after="0"/>
              <w:rPr>
                <w:sz w:val="22"/>
              </w:rPr>
            </w:pPr>
            <w:r w:rsidRPr="000D42FB">
              <w:rPr>
                <w:sz w:val="22"/>
              </w:rPr>
              <w:t>Clubs beyond school Support for children for whose lack of funds may be a barrier to accessing trips and residential visits</w:t>
            </w:r>
          </w:p>
          <w:p w14:paraId="2A7D5538" w14:textId="6780F4FA" w:rsidR="00A123EF" w:rsidRDefault="00A123EF" w:rsidP="00A123EF">
            <w:pPr>
              <w:pStyle w:val="TableRow"/>
            </w:pPr>
            <w:r w:rsidRPr="000D42FB">
              <w:rPr>
                <w:sz w:val="22"/>
              </w:rPr>
              <w:t xml:space="preserve">North Yorkshire County </w:t>
            </w:r>
            <w:r>
              <w:rPr>
                <w:sz w:val="22"/>
              </w:rPr>
              <w:t>Council music lessons in school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9" w14:textId="5943024C" w:rsidR="00A123EF" w:rsidRDefault="00A123EF" w:rsidP="00A123EF">
            <w:pPr>
              <w:pStyle w:val="TableRowCentered"/>
              <w:jc w:val="left"/>
              <w:rPr>
                <w:sz w:val="22"/>
              </w:rPr>
            </w:pPr>
            <w:r w:rsidRPr="000D42FB">
              <w:rPr>
                <w:sz w:val="22"/>
              </w:rPr>
              <w:lastRenderedPageBreak/>
              <w:t xml:space="preserve">Increasing the cultural capital for disadvantaged children increases their knowledge of the world and supports their personal development. </w:t>
            </w:r>
            <w:hyperlink r:id="rId13" w:history="1">
              <w:r w:rsidRPr="000D42FB">
                <w:rPr>
                  <w:rStyle w:val="Hyperlink"/>
                  <w:sz w:val="22"/>
                </w:rPr>
                <w:t>https://educationendowmentfoundation.org.uk/educationevidence/teaching-learning-toolkit/arts-participation</w:t>
              </w:r>
            </w:hyperlink>
            <w:r w:rsidRPr="000D42FB">
              <w:rPr>
                <w:sz w:val="22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A" w14:textId="7ABBF187" w:rsidR="00A123EF" w:rsidRDefault="00A123EF" w:rsidP="00A123E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3, 4, 5</w:t>
            </w:r>
          </w:p>
        </w:tc>
      </w:tr>
    </w:tbl>
    <w:p w14:paraId="7968FD61" w14:textId="57AC9BC4" w:rsidR="007B0523" w:rsidRDefault="007B0523">
      <w:pPr>
        <w:spacing w:before="240" w:after="0"/>
        <w:rPr>
          <w:b/>
          <w:bCs/>
          <w:color w:val="104F75"/>
          <w:sz w:val="28"/>
          <w:szCs w:val="28"/>
        </w:rPr>
      </w:pPr>
    </w:p>
    <w:p w14:paraId="2145067A" w14:textId="77777777" w:rsidR="007B0523" w:rsidRDefault="007B0523">
      <w:pPr>
        <w:spacing w:before="240" w:after="0"/>
        <w:rPr>
          <w:b/>
          <w:bCs/>
          <w:color w:val="104F75"/>
          <w:sz w:val="28"/>
          <w:szCs w:val="28"/>
        </w:rPr>
      </w:pPr>
    </w:p>
    <w:p w14:paraId="70162FDD" w14:textId="77777777" w:rsidR="007B0523" w:rsidRDefault="007B0523">
      <w:pPr>
        <w:spacing w:before="240" w:after="0"/>
        <w:rPr>
          <w:b/>
          <w:bCs/>
          <w:color w:val="104F75"/>
          <w:sz w:val="28"/>
          <w:szCs w:val="28"/>
        </w:rPr>
      </w:pPr>
    </w:p>
    <w:p w14:paraId="2A7D5541" w14:textId="47B75BFD" w:rsidR="00E66558" w:rsidRDefault="00F25A93" w:rsidP="00120AB1">
      <w:r>
        <w:rPr>
          <w:b/>
          <w:bCs/>
          <w:color w:val="104F75"/>
          <w:sz w:val="28"/>
          <w:szCs w:val="28"/>
        </w:rPr>
        <w:t xml:space="preserve">Total budgeted cost: </w:t>
      </w:r>
      <w:r w:rsidR="00492505" w:rsidRPr="00492505">
        <w:rPr>
          <w:b/>
          <w:bCs/>
          <w:color w:val="104F75"/>
          <w:sz w:val="28"/>
          <w:szCs w:val="28"/>
        </w:rPr>
        <w:t>£20,350</w:t>
      </w:r>
    </w:p>
    <w:p w14:paraId="2A7D5542" w14:textId="18352EC3" w:rsidR="00E66558" w:rsidRPr="00064366" w:rsidRDefault="009D71E8" w:rsidP="00064366">
      <w:pPr>
        <w:pStyle w:val="Heading1"/>
      </w:pPr>
      <w:r w:rsidRPr="00064366">
        <w:lastRenderedPageBreak/>
        <w:t>Part B: Review of the previous academic year</w:t>
      </w:r>
    </w:p>
    <w:p w14:paraId="751285B7" w14:textId="72ACB452" w:rsidR="008B6404" w:rsidRDefault="00064366" w:rsidP="00173D4C">
      <w:pPr>
        <w:pStyle w:val="Heading2"/>
      </w:pPr>
      <w:r w:rsidRPr="00173D4C">
        <w:t>Outcomes for disadvantaged pupils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620"/>
        <w:gridCol w:w="3162"/>
      </w:tblGrid>
      <w:tr w:rsidR="00A123EF" w14:paraId="533F8E49" w14:textId="77777777" w:rsidTr="00315443">
        <w:tc>
          <w:tcPr>
            <w:tcW w:w="704" w:type="dxa"/>
          </w:tcPr>
          <w:p w14:paraId="77B62960" w14:textId="77777777" w:rsidR="00A123EF" w:rsidRDefault="00A123EF" w:rsidP="00315443"/>
        </w:tc>
        <w:tc>
          <w:tcPr>
            <w:tcW w:w="5620" w:type="dxa"/>
          </w:tcPr>
          <w:p w14:paraId="225E4156" w14:textId="77777777" w:rsidR="00A123EF" w:rsidRDefault="00A123EF" w:rsidP="00315443">
            <w:r>
              <w:t>Outcome</w:t>
            </w:r>
          </w:p>
        </w:tc>
        <w:tc>
          <w:tcPr>
            <w:tcW w:w="3162" w:type="dxa"/>
          </w:tcPr>
          <w:p w14:paraId="14FD44A8" w14:textId="77777777" w:rsidR="00A123EF" w:rsidRDefault="00A123EF" w:rsidP="00315443">
            <w:r>
              <w:t>Impact</w:t>
            </w:r>
          </w:p>
        </w:tc>
      </w:tr>
      <w:tr w:rsidR="00A123EF" w:rsidRPr="006A76A4" w14:paraId="2929BCB2" w14:textId="77777777" w:rsidTr="00315443">
        <w:tc>
          <w:tcPr>
            <w:tcW w:w="704" w:type="dxa"/>
          </w:tcPr>
          <w:p w14:paraId="48427BA2" w14:textId="77777777" w:rsidR="00A123EF" w:rsidRDefault="00A123EF" w:rsidP="00315443">
            <w:r>
              <w:t>A</w:t>
            </w:r>
          </w:p>
        </w:tc>
        <w:tc>
          <w:tcPr>
            <w:tcW w:w="5620" w:type="dxa"/>
          </w:tcPr>
          <w:p w14:paraId="398DCC05" w14:textId="77777777" w:rsidR="00A123EF" w:rsidRPr="004A01F7" w:rsidRDefault="00A123EF" w:rsidP="00315443">
            <w:pPr>
              <w:rPr>
                <w:sz w:val="22"/>
                <w:szCs w:val="22"/>
              </w:rPr>
            </w:pPr>
            <w:r w:rsidRPr="004A01F7">
              <w:rPr>
                <w:rFonts w:cs="Arial"/>
                <w:sz w:val="22"/>
                <w:szCs w:val="22"/>
              </w:rPr>
              <w:t>In KS1, pupils eligible for PPG are achieving at least expected in reading, writing and maths.</w:t>
            </w:r>
          </w:p>
        </w:tc>
        <w:tc>
          <w:tcPr>
            <w:tcW w:w="3162" w:type="dxa"/>
          </w:tcPr>
          <w:p w14:paraId="197C3820" w14:textId="77777777" w:rsidR="00A123EF" w:rsidRPr="006A76A4" w:rsidRDefault="00A123EF" w:rsidP="0031544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6A4">
              <w:rPr>
                <w:rFonts w:cs="Arial"/>
                <w:sz w:val="20"/>
                <w:szCs w:val="20"/>
              </w:rPr>
              <w:t>Teacher assessments in maths and English</w:t>
            </w:r>
          </w:p>
          <w:p w14:paraId="676858F6" w14:textId="1918AA20" w:rsidR="00A123EF" w:rsidRPr="006A76A4" w:rsidRDefault="00F84E28" w:rsidP="00315443">
            <w:pPr>
              <w:pStyle w:val="ListParagraph"/>
              <w:numPr>
                <w:ilvl w:val="0"/>
                <w:numId w:val="20"/>
              </w:numPr>
              <w:suppressAutoHyphens w:val="0"/>
              <w:autoSpaceDN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</w:t>
            </w:r>
            <w:r w:rsidR="00381E8C">
              <w:rPr>
                <w:rFonts w:cs="Arial"/>
                <w:sz w:val="20"/>
                <w:szCs w:val="20"/>
              </w:rPr>
              <w:t>here were no Y2</w:t>
            </w:r>
            <w:r w:rsidR="00DB1BAE">
              <w:rPr>
                <w:rFonts w:cs="Arial"/>
                <w:sz w:val="20"/>
                <w:szCs w:val="20"/>
              </w:rPr>
              <w:t xml:space="preserve"> children eligible for PPG in 2023-2024</w:t>
            </w:r>
          </w:p>
        </w:tc>
      </w:tr>
      <w:tr w:rsidR="00A123EF" w:rsidRPr="006A76A4" w14:paraId="00B3F680" w14:textId="77777777" w:rsidTr="00315443">
        <w:tc>
          <w:tcPr>
            <w:tcW w:w="704" w:type="dxa"/>
          </w:tcPr>
          <w:p w14:paraId="4138BEA6" w14:textId="77777777" w:rsidR="00A123EF" w:rsidRDefault="00A123EF" w:rsidP="00315443">
            <w:r>
              <w:t>B</w:t>
            </w:r>
          </w:p>
        </w:tc>
        <w:tc>
          <w:tcPr>
            <w:tcW w:w="5620" w:type="dxa"/>
          </w:tcPr>
          <w:p w14:paraId="38F6B2CF" w14:textId="77777777" w:rsidR="00A123EF" w:rsidRPr="004A01F7" w:rsidRDefault="00A123EF" w:rsidP="00315443">
            <w:pPr>
              <w:rPr>
                <w:sz w:val="22"/>
                <w:szCs w:val="22"/>
              </w:rPr>
            </w:pPr>
            <w:r w:rsidRPr="004A01F7">
              <w:rPr>
                <w:rFonts w:cs="Arial"/>
                <w:sz w:val="22"/>
                <w:szCs w:val="22"/>
              </w:rPr>
              <w:t>In KS2, pupils eligible for PPG are achieving at least expected in reading, writing and maths.</w:t>
            </w:r>
          </w:p>
        </w:tc>
        <w:tc>
          <w:tcPr>
            <w:tcW w:w="3162" w:type="dxa"/>
          </w:tcPr>
          <w:p w14:paraId="6B367422" w14:textId="6E522EB4" w:rsidR="00A123EF" w:rsidRPr="006A76A4" w:rsidRDefault="00F20098" w:rsidP="0031544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="00A123EF" w:rsidRPr="006A76A4">
              <w:rPr>
                <w:rFonts w:cs="Arial"/>
                <w:sz w:val="20"/>
                <w:szCs w:val="20"/>
              </w:rPr>
              <w:t>tatutory assessments</w:t>
            </w:r>
            <w:r>
              <w:rPr>
                <w:rFonts w:cs="Arial"/>
                <w:sz w:val="20"/>
                <w:szCs w:val="20"/>
              </w:rPr>
              <w:t>/teacher assessments</w:t>
            </w:r>
            <w:r w:rsidR="00A123EF" w:rsidRPr="006A76A4">
              <w:rPr>
                <w:rFonts w:cs="Arial"/>
                <w:sz w:val="20"/>
                <w:szCs w:val="20"/>
              </w:rPr>
              <w:t xml:space="preserve"> in the academic year 202</w:t>
            </w:r>
            <w:r>
              <w:rPr>
                <w:rFonts w:cs="Arial"/>
                <w:sz w:val="20"/>
                <w:szCs w:val="20"/>
              </w:rPr>
              <w:t>3</w:t>
            </w:r>
            <w:r w:rsidR="00A123EF" w:rsidRPr="006A76A4">
              <w:rPr>
                <w:rFonts w:cs="Arial"/>
                <w:sz w:val="20"/>
                <w:szCs w:val="20"/>
              </w:rPr>
              <w:t>-202</w:t>
            </w:r>
            <w:r>
              <w:rPr>
                <w:rFonts w:cs="Arial"/>
                <w:sz w:val="20"/>
                <w:szCs w:val="20"/>
              </w:rPr>
              <w:t>4</w:t>
            </w:r>
            <w:r w:rsidR="00A123EF" w:rsidRPr="006A76A4">
              <w:rPr>
                <w:rFonts w:cs="Arial"/>
                <w:sz w:val="20"/>
                <w:szCs w:val="20"/>
              </w:rPr>
              <w:t>.</w:t>
            </w:r>
          </w:p>
          <w:p w14:paraId="5C633018" w14:textId="4CAD166D" w:rsidR="00A123EF" w:rsidRPr="006A76A4" w:rsidRDefault="00A123EF" w:rsidP="00315443">
            <w:pPr>
              <w:pStyle w:val="ListParagraph"/>
              <w:numPr>
                <w:ilvl w:val="0"/>
                <w:numId w:val="20"/>
              </w:numPr>
              <w:suppressAutoHyphens w:val="0"/>
              <w:autoSpaceDN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6A4">
              <w:rPr>
                <w:rFonts w:cs="Arial"/>
                <w:sz w:val="20"/>
                <w:szCs w:val="20"/>
              </w:rPr>
              <w:t>percentage of children who ach</w:t>
            </w:r>
            <w:r w:rsidR="00574342">
              <w:rPr>
                <w:rFonts w:cs="Arial"/>
                <w:sz w:val="20"/>
                <w:szCs w:val="20"/>
              </w:rPr>
              <w:t xml:space="preserve">ieved </w:t>
            </w:r>
            <w:r w:rsidR="00177F53">
              <w:rPr>
                <w:rFonts w:cs="Arial"/>
                <w:sz w:val="20"/>
                <w:szCs w:val="20"/>
              </w:rPr>
              <w:t xml:space="preserve">expected in reading was </w:t>
            </w:r>
            <w:r w:rsidR="00F20098">
              <w:rPr>
                <w:rFonts w:cs="Arial"/>
                <w:sz w:val="20"/>
                <w:szCs w:val="20"/>
              </w:rPr>
              <w:t>67</w:t>
            </w:r>
            <w:r w:rsidRPr="006A76A4">
              <w:rPr>
                <w:rFonts w:cs="Arial"/>
                <w:sz w:val="20"/>
                <w:szCs w:val="20"/>
              </w:rPr>
              <w:t>% (</w:t>
            </w:r>
            <w:r w:rsidR="00F20098">
              <w:rPr>
                <w:rFonts w:cs="Arial"/>
                <w:sz w:val="20"/>
                <w:szCs w:val="20"/>
              </w:rPr>
              <w:t>2</w:t>
            </w:r>
            <w:r w:rsidR="00177F53">
              <w:rPr>
                <w:rFonts w:cs="Arial"/>
                <w:sz w:val="20"/>
                <w:szCs w:val="20"/>
              </w:rPr>
              <w:t xml:space="preserve"> out of 3</w:t>
            </w:r>
            <w:r w:rsidRPr="006A76A4">
              <w:rPr>
                <w:rFonts w:cs="Arial"/>
                <w:sz w:val="20"/>
                <w:szCs w:val="20"/>
              </w:rPr>
              <w:t>)</w:t>
            </w:r>
          </w:p>
          <w:p w14:paraId="6438E7CD" w14:textId="5FC8B4CB" w:rsidR="00A123EF" w:rsidRPr="006A76A4" w:rsidRDefault="00A123EF" w:rsidP="00315443">
            <w:pPr>
              <w:pStyle w:val="ListParagraph"/>
              <w:numPr>
                <w:ilvl w:val="0"/>
                <w:numId w:val="20"/>
              </w:numPr>
              <w:suppressAutoHyphens w:val="0"/>
              <w:autoSpaceDN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6A4">
              <w:rPr>
                <w:rFonts w:cs="Arial"/>
                <w:sz w:val="20"/>
                <w:szCs w:val="20"/>
              </w:rPr>
              <w:t xml:space="preserve">percentage of children who achieved expected in writing was </w:t>
            </w:r>
            <w:r w:rsidR="00F20098">
              <w:rPr>
                <w:rFonts w:cs="Arial"/>
                <w:sz w:val="20"/>
                <w:szCs w:val="20"/>
              </w:rPr>
              <w:t>67</w:t>
            </w:r>
            <w:r w:rsidRPr="006A76A4">
              <w:rPr>
                <w:rFonts w:cs="Arial"/>
                <w:sz w:val="20"/>
                <w:szCs w:val="20"/>
              </w:rPr>
              <w:t>% (</w:t>
            </w:r>
            <w:r w:rsidR="00F20098">
              <w:rPr>
                <w:rFonts w:cs="Arial"/>
                <w:sz w:val="20"/>
                <w:szCs w:val="20"/>
              </w:rPr>
              <w:t>2</w:t>
            </w:r>
            <w:r w:rsidR="00177F53">
              <w:rPr>
                <w:rFonts w:cs="Arial"/>
                <w:sz w:val="20"/>
                <w:szCs w:val="20"/>
              </w:rPr>
              <w:t xml:space="preserve"> out of 3</w:t>
            </w:r>
            <w:r w:rsidRPr="006A76A4">
              <w:rPr>
                <w:rFonts w:cs="Arial"/>
                <w:sz w:val="20"/>
                <w:szCs w:val="20"/>
              </w:rPr>
              <w:t>)</w:t>
            </w:r>
          </w:p>
          <w:p w14:paraId="76219091" w14:textId="4AC37182" w:rsidR="00A123EF" w:rsidRPr="006A76A4" w:rsidRDefault="00A123EF" w:rsidP="00177F53">
            <w:pPr>
              <w:pStyle w:val="ListParagraph"/>
              <w:numPr>
                <w:ilvl w:val="0"/>
                <w:numId w:val="20"/>
              </w:numPr>
              <w:suppressAutoHyphens w:val="0"/>
              <w:autoSpaceDN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6A4">
              <w:rPr>
                <w:rFonts w:cs="Arial"/>
                <w:sz w:val="20"/>
                <w:szCs w:val="20"/>
              </w:rPr>
              <w:t>percentage of children who</w:t>
            </w:r>
            <w:r w:rsidR="00177F53">
              <w:rPr>
                <w:rFonts w:cs="Arial"/>
                <w:sz w:val="20"/>
                <w:szCs w:val="20"/>
              </w:rPr>
              <w:t xml:space="preserve"> achieved expected in maths was </w:t>
            </w:r>
            <w:r w:rsidR="00F20098">
              <w:rPr>
                <w:rFonts w:cs="Arial"/>
                <w:sz w:val="20"/>
                <w:szCs w:val="20"/>
              </w:rPr>
              <w:t>67</w:t>
            </w:r>
            <w:r w:rsidRPr="006A76A4">
              <w:rPr>
                <w:rFonts w:cs="Arial"/>
                <w:sz w:val="20"/>
                <w:szCs w:val="20"/>
              </w:rPr>
              <w:t>% (</w:t>
            </w:r>
            <w:r w:rsidR="00F20098">
              <w:rPr>
                <w:rFonts w:cs="Arial"/>
                <w:sz w:val="20"/>
                <w:szCs w:val="20"/>
              </w:rPr>
              <w:t>2</w:t>
            </w:r>
            <w:r w:rsidR="00177F53">
              <w:rPr>
                <w:rFonts w:cs="Arial"/>
                <w:sz w:val="20"/>
                <w:szCs w:val="20"/>
              </w:rPr>
              <w:t xml:space="preserve"> out of 3</w:t>
            </w:r>
            <w:r w:rsidRPr="006A76A4">
              <w:rPr>
                <w:rFonts w:cs="Arial"/>
                <w:sz w:val="20"/>
                <w:szCs w:val="20"/>
              </w:rPr>
              <w:t>)</w:t>
            </w:r>
          </w:p>
        </w:tc>
      </w:tr>
      <w:tr w:rsidR="00A123EF" w:rsidRPr="004A01F7" w14:paraId="02726F61" w14:textId="77777777" w:rsidTr="00315443">
        <w:tc>
          <w:tcPr>
            <w:tcW w:w="704" w:type="dxa"/>
          </w:tcPr>
          <w:p w14:paraId="13044EAA" w14:textId="77777777" w:rsidR="00A123EF" w:rsidRDefault="00A123EF" w:rsidP="00315443">
            <w:r>
              <w:t>C</w:t>
            </w:r>
          </w:p>
        </w:tc>
        <w:tc>
          <w:tcPr>
            <w:tcW w:w="5620" w:type="dxa"/>
          </w:tcPr>
          <w:p w14:paraId="274A9226" w14:textId="77777777" w:rsidR="00A123EF" w:rsidRPr="004A01F7" w:rsidRDefault="00A123EF" w:rsidP="00315443">
            <w:pPr>
              <w:rPr>
                <w:rFonts w:cs="Arial"/>
                <w:sz w:val="22"/>
              </w:rPr>
            </w:pPr>
            <w:r w:rsidRPr="004A01F7">
              <w:rPr>
                <w:sz w:val="22"/>
              </w:rPr>
              <w:t>Provide financial support for appropriate educational activities, extra-curricular activities, enhancement activities, visits (when possible) and before and after school provision to</w:t>
            </w:r>
            <w:r w:rsidRPr="004A01F7">
              <w:rPr>
                <w:rFonts w:cs="Arial"/>
                <w:sz w:val="22"/>
              </w:rPr>
              <w:t xml:space="preserve"> increased extra-curricular opportunities for pupils eligible for PPG.</w:t>
            </w:r>
          </w:p>
        </w:tc>
        <w:tc>
          <w:tcPr>
            <w:tcW w:w="3162" w:type="dxa"/>
          </w:tcPr>
          <w:p w14:paraId="72D5783B" w14:textId="77777777" w:rsidR="00A123EF" w:rsidRPr="004A01F7" w:rsidRDefault="00A123EF" w:rsidP="00315443">
            <w:pPr>
              <w:rPr>
                <w:sz w:val="22"/>
              </w:rPr>
            </w:pPr>
            <w:r w:rsidRPr="004A01F7">
              <w:rPr>
                <w:sz w:val="22"/>
              </w:rPr>
              <w:t>The impact of this support contributes to pupils’ improved confidence and social integration, and further enhances pupils’ progress.</w:t>
            </w:r>
          </w:p>
        </w:tc>
      </w:tr>
      <w:tr w:rsidR="00A123EF" w:rsidRPr="00140553" w14:paraId="072CF614" w14:textId="77777777" w:rsidTr="00315443">
        <w:tc>
          <w:tcPr>
            <w:tcW w:w="704" w:type="dxa"/>
          </w:tcPr>
          <w:p w14:paraId="7B278260" w14:textId="77777777" w:rsidR="00A123EF" w:rsidRDefault="00A123EF" w:rsidP="00315443">
            <w:r>
              <w:t>D</w:t>
            </w:r>
          </w:p>
        </w:tc>
        <w:tc>
          <w:tcPr>
            <w:tcW w:w="5620" w:type="dxa"/>
          </w:tcPr>
          <w:p w14:paraId="35C1882D" w14:textId="77777777" w:rsidR="00A123EF" w:rsidRPr="004A01F7" w:rsidRDefault="00A123EF" w:rsidP="00315443">
            <w:pPr>
              <w:rPr>
                <w:sz w:val="22"/>
              </w:rPr>
            </w:pPr>
            <w:r w:rsidRPr="004A01F7">
              <w:rPr>
                <w:rFonts w:cs="Arial"/>
                <w:sz w:val="22"/>
              </w:rPr>
              <w:t>Improved social and emotional skills and self-esteem for all pupils including those eligible for PPG.</w:t>
            </w:r>
          </w:p>
        </w:tc>
        <w:tc>
          <w:tcPr>
            <w:tcW w:w="3162" w:type="dxa"/>
          </w:tcPr>
          <w:p w14:paraId="5C91F519" w14:textId="176EEAA7" w:rsidR="00A123EF" w:rsidRPr="00140553" w:rsidRDefault="00A123EF" w:rsidP="00315443">
            <w:pPr>
              <w:rPr>
                <w:rFonts w:cs="Arial"/>
                <w:sz w:val="22"/>
                <w:szCs w:val="20"/>
              </w:rPr>
            </w:pPr>
            <w:r w:rsidRPr="00140553">
              <w:rPr>
                <w:rFonts w:cs="Arial"/>
                <w:sz w:val="22"/>
                <w:szCs w:val="20"/>
              </w:rPr>
              <w:t xml:space="preserve">Mental health continued </w:t>
            </w:r>
            <w:r w:rsidR="00177F53">
              <w:rPr>
                <w:rFonts w:cs="Arial"/>
                <w:sz w:val="22"/>
                <w:szCs w:val="20"/>
              </w:rPr>
              <w:t>to be a priority throughout 202</w:t>
            </w:r>
            <w:r w:rsidR="00F20098">
              <w:rPr>
                <w:rFonts w:cs="Arial"/>
                <w:sz w:val="22"/>
                <w:szCs w:val="20"/>
              </w:rPr>
              <w:t>4</w:t>
            </w:r>
            <w:r w:rsidR="00177F53">
              <w:rPr>
                <w:rFonts w:cs="Arial"/>
                <w:sz w:val="22"/>
                <w:szCs w:val="20"/>
              </w:rPr>
              <w:t xml:space="preserve"> -202</w:t>
            </w:r>
            <w:r w:rsidR="00F20098">
              <w:rPr>
                <w:rFonts w:cs="Arial"/>
                <w:sz w:val="22"/>
                <w:szCs w:val="20"/>
              </w:rPr>
              <w:t>5</w:t>
            </w:r>
          </w:p>
          <w:p w14:paraId="3E2AB34A" w14:textId="25D73C59" w:rsidR="00A123EF" w:rsidRPr="00140553" w:rsidRDefault="00A123EF" w:rsidP="00BC0A31">
            <w:pPr>
              <w:rPr>
                <w:sz w:val="22"/>
              </w:rPr>
            </w:pPr>
            <w:r w:rsidRPr="00140553">
              <w:rPr>
                <w:rFonts w:cs="Arial"/>
                <w:sz w:val="22"/>
                <w:szCs w:val="20"/>
              </w:rPr>
              <w:t xml:space="preserve">Transition arrangements with secondary schools </w:t>
            </w:r>
            <w:r w:rsidR="00AC025A">
              <w:rPr>
                <w:rFonts w:cs="Arial"/>
                <w:sz w:val="22"/>
                <w:szCs w:val="20"/>
              </w:rPr>
              <w:t>were strong</w:t>
            </w:r>
            <w:r w:rsidR="00BC0A31">
              <w:rPr>
                <w:rFonts w:cs="Arial"/>
                <w:sz w:val="22"/>
                <w:szCs w:val="20"/>
              </w:rPr>
              <w:t>.</w:t>
            </w:r>
          </w:p>
        </w:tc>
      </w:tr>
      <w:tr w:rsidR="00A123EF" w:rsidRPr="00140553" w14:paraId="2D83799E" w14:textId="77777777" w:rsidTr="00315443">
        <w:tc>
          <w:tcPr>
            <w:tcW w:w="704" w:type="dxa"/>
          </w:tcPr>
          <w:p w14:paraId="62E908B9" w14:textId="77777777" w:rsidR="00A123EF" w:rsidRDefault="00A123EF" w:rsidP="00315443">
            <w:r>
              <w:t>E</w:t>
            </w:r>
          </w:p>
        </w:tc>
        <w:tc>
          <w:tcPr>
            <w:tcW w:w="5620" w:type="dxa"/>
          </w:tcPr>
          <w:p w14:paraId="21008889" w14:textId="77777777" w:rsidR="00A123EF" w:rsidRPr="004A01F7" w:rsidRDefault="00A123EF" w:rsidP="00315443">
            <w:pPr>
              <w:rPr>
                <w:sz w:val="22"/>
              </w:rPr>
            </w:pPr>
            <w:r w:rsidRPr="004A01F7">
              <w:rPr>
                <w:rFonts w:cs="Arial"/>
                <w:sz w:val="22"/>
              </w:rPr>
              <w:t>Increased attendance rates for small group of pupils eligible for PPG.</w:t>
            </w:r>
          </w:p>
        </w:tc>
        <w:tc>
          <w:tcPr>
            <w:tcW w:w="3162" w:type="dxa"/>
          </w:tcPr>
          <w:p w14:paraId="2C82B5C1" w14:textId="77777777" w:rsidR="00A123EF" w:rsidRPr="00140553" w:rsidRDefault="00A123EF" w:rsidP="00315443">
            <w:pPr>
              <w:rPr>
                <w:sz w:val="22"/>
              </w:rPr>
            </w:pPr>
            <w:r w:rsidRPr="00140553">
              <w:rPr>
                <w:sz w:val="22"/>
              </w:rPr>
              <w:t xml:space="preserve">Rigorous monitoring </w:t>
            </w:r>
            <w:r>
              <w:rPr>
                <w:sz w:val="22"/>
              </w:rPr>
              <w:t xml:space="preserve">and follow-up </w:t>
            </w:r>
            <w:r w:rsidRPr="00140553">
              <w:rPr>
                <w:sz w:val="22"/>
              </w:rPr>
              <w:t>systems</w:t>
            </w:r>
            <w:r>
              <w:rPr>
                <w:sz w:val="22"/>
              </w:rPr>
              <w:t xml:space="preserve"> including letters and meeting with parents of children whose attendance was poor.</w:t>
            </w:r>
          </w:p>
        </w:tc>
      </w:tr>
    </w:tbl>
    <w:p w14:paraId="50BA723F" w14:textId="77777777" w:rsidR="00A123EF" w:rsidRDefault="00A123EF" w:rsidP="00A123EF"/>
    <w:p w14:paraId="5AF57BF4" w14:textId="77777777" w:rsidR="00CB2D8E" w:rsidRDefault="00CB2D8E" w:rsidP="00A123EF"/>
    <w:p w14:paraId="3F07A216" w14:textId="77777777" w:rsidR="00CB2D8E" w:rsidRPr="00A123EF" w:rsidRDefault="00CB2D8E" w:rsidP="00A123EF"/>
    <w:p w14:paraId="2A7D5548" w14:textId="0199D85C" w:rsidR="00E66558" w:rsidRDefault="006D6372" w:rsidP="00A82A98">
      <w:pPr>
        <w:pStyle w:val="Heading2"/>
      </w:pPr>
      <w:r>
        <w:lastRenderedPageBreak/>
        <w:t>E</w:t>
      </w:r>
      <w:r w:rsidR="009D71E8">
        <w:t>xternally provided programmes</w:t>
      </w:r>
    </w:p>
    <w:p w14:paraId="2A7D5549" w14:textId="1DAEF3DE" w:rsidR="00E66558" w:rsidRDefault="0B240EAF" w:rsidP="07FFD3D3">
      <w:pPr>
        <w:rPr>
          <w:i/>
          <w:iCs/>
        </w:rPr>
      </w:pPr>
      <w:r w:rsidRPr="07FFD3D3">
        <w:rPr>
          <w:i/>
          <w:iCs/>
        </w:rPr>
        <w:t xml:space="preserve">Please include the names of any non-DfE programmes that you </w:t>
      </w:r>
      <w:r w:rsidR="491E3A64" w:rsidRPr="07FFD3D3">
        <w:rPr>
          <w:i/>
          <w:iCs/>
        </w:rPr>
        <w:t xml:space="preserve">used your pupil premium (or recovery premium) to fund </w:t>
      </w:r>
      <w:r w:rsidRPr="07FFD3D3">
        <w:rPr>
          <w:i/>
          <w:iCs/>
        </w:rPr>
        <w:t xml:space="preserve">in the previous academic year.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4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A" w14:textId="77777777" w:rsidR="00E66558" w:rsidRDefault="009D71E8">
            <w:pPr>
              <w:pStyle w:val="TableHeader"/>
              <w:jc w:val="left"/>
            </w:pPr>
            <w:r>
              <w:t>Programme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B" w14:textId="77777777" w:rsidR="00E66558" w:rsidRDefault="009D71E8">
            <w:pPr>
              <w:pStyle w:val="TableHeader"/>
              <w:jc w:val="left"/>
            </w:pPr>
            <w:r>
              <w:t>Provider</w:t>
            </w:r>
          </w:p>
        </w:tc>
      </w:tr>
      <w:tr w:rsidR="00CE13F6" w14:paraId="2A7D554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D" w14:textId="6C3846C9" w:rsidR="00CE13F6" w:rsidRDefault="00CE13F6" w:rsidP="00CE13F6">
            <w:pPr>
              <w:pStyle w:val="TableRow"/>
            </w:pPr>
            <w:r>
              <w:t>Reading Plus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E" w14:textId="4600911E" w:rsidR="00CE13F6" w:rsidRDefault="00CE13F6" w:rsidP="00CE13F6">
            <w:pPr>
              <w:pStyle w:val="TableRowCentered"/>
              <w:jc w:val="left"/>
            </w:pPr>
            <w:r>
              <w:t>Reading Solutions UK</w:t>
            </w:r>
          </w:p>
        </w:tc>
      </w:tr>
      <w:tr w:rsidR="00CE13F6" w14:paraId="2A7D5552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0" w14:textId="1ECC0EBB" w:rsidR="00CE13F6" w:rsidRDefault="00CE13F6" w:rsidP="00CE13F6">
            <w:pPr>
              <w:pStyle w:val="TableRow"/>
            </w:pPr>
            <w:r>
              <w:t>Third Space Maths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1" w14:textId="155DE5D1" w:rsidR="00CE13F6" w:rsidRDefault="00CE13F6" w:rsidP="00CE13F6">
            <w:pPr>
              <w:pStyle w:val="TableRowCentered"/>
              <w:jc w:val="left"/>
            </w:pPr>
            <w:r>
              <w:t>Third Space Learning</w:t>
            </w:r>
          </w:p>
        </w:tc>
      </w:tr>
      <w:tr w:rsidR="00CE13F6" w14:paraId="4EC75067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EFE54" w14:textId="4E463A26" w:rsidR="00CE13F6" w:rsidRDefault="00CE13F6" w:rsidP="00CE13F6">
            <w:pPr>
              <w:pStyle w:val="TableRow"/>
            </w:pPr>
            <w:r>
              <w:t>Early Talk Boost (</w:t>
            </w:r>
            <w:proofErr w:type="gramStart"/>
            <w:r>
              <w:t>3-4 year olds</w:t>
            </w:r>
            <w:proofErr w:type="gramEnd"/>
            <w:r>
              <w:t>)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FB7B4" w14:textId="7731989F" w:rsidR="00CE13F6" w:rsidRDefault="00CE13F6" w:rsidP="00CE13F6">
            <w:pPr>
              <w:pStyle w:val="TableRowCentered"/>
              <w:jc w:val="left"/>
            </w:pPr>
            <w:proofErr w:type="spellStart"/>
            <w:r>
              <w:t>ICan</w:t>
            </w:r>
            <w:proofErr w:type="spellEnd"/>
          </w:p>
        </w:tc>
      </w:tr>
      <w:tr w:rsidR="00CE13F6" w14:paraId="040249EB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5F0A2" w14:textId="44B8FD47" w:rsidR="00CE13F6" w:rsidRDefault="00CE13F6" w:rsidP="00CE13F6">
            <w:pPr>
              <w:pStyle w:val="TableRow"/>
            </w:pPr>
            <w:r>
              <w:t>Nuffield Early Language Intervention – NELI (</w:t>
            </w:r>
            <w:proofErr w:type="gramStart"/>
            <w:r>
              <w:t>4-5 year olds</w:t>
            </w:r>
            <w:proofErr w:type="gramEnd"/>
            <w:r>
              <w:t>)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D4F91" w14:textId="07D96DD4" w:rsidR="00CE13F6" w:rsidRDefault="00CE13F6" w:rsidP="00CE13F6">
            <w:pPr>
              <w:pStyle w:val="TableRowCentered"/>
              <w:jc w:val="left"/>
            </w:pPr>
            <w:r>
              <w:t xml:space="preserve">Nuffield Foundation </w:t>
            </w:r>
          </w:p>
        </w:tc>
      </w:tr>
      <w:tr w:rsidR="00CE13F6" w14:paraId="6C7D7736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DC7AB" w14:textId="3B571A1C" w:rsidR="00CE13F6" w:rsidRDefault="00CE13F6" w:rsidP="00CE13F6">
            <w:pPr>
              <w:pStyle w:val="TableRow"/>
            </w:pPr>
            <w:r>
              <w:t>Dyslexia screening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1B946" w14:textId="17917193" w:rsidR="00CE13F6" w:rsidRDefault="00CE13F6" w:rsidP="00CE13F6">
            <w:pPr>
              <w:pStyle w:val="TableRowCentered"/>
              <w:jc w:val="left"/>
            </w:pPr>
            <w:proofErr w:type="spellStart"/>
            <w:r>
              <w:t>Nessy</w:t>
            </w:r>
            <w:proofErr w:type="spellEnd"/>
          </w:p>
        </w:tc>
      </w:tr>
      <w:tr w:rsidR="00695F26" w14:paraId="575D3284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F799E" w14:textId="6BD83AA3" w:rsidR="00695F26" w:rsidRDefault="00695F26" w:rsidP="00695F26">
            <w:pPr>
              <w:pStyle w:val="TableRow"/>
            </w:pPr>
            <w:r w:rsidRPr="00B66436">
              <w:t xml:space="preserve">White Rose Maths Scheme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97293" w14:textId="614E7B25" w:rsidR="00695F26" w:rsidRDefault="00695F26" w:rsidP="00695F26">
            <w:pPr>
              <w:pStyle w:val="TableRowCentered"/>
              <w:jc w:val="left"/>
            </w:pPr>
            <w:r w:rsidRPr="00B66436">
              <w:t xml:space="preserve">White Rose Maths </w:t>
            </w:r>
          </w:p>
        </w:tc>
      </w:tr>
      <w:tr w:rsidR="00695F26" w14:paraId="504DF1C7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2C0E7" w14:textId="4AB5C2DC" w:rsidR="00695F26" w:rsidRDefault="00695F26" w:rsidP="00695F26">
            <w:pPr>
              <w:pStyle w:val="TableRow"/>
            </w:pPr>
            <w:r w:rsidRPr="00B66436">
              <w:t xml:space="preserve">TT Rock stars - online times tables practice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F0E8C" w14:textId="3A0148EA" w:rsidR="00695F26" w:rsidRDefault="00695F26" w:rsidP="00695F26">
            <w:pPr>
              <w:pStyle w:val="TableRowCentered"/>
              <w:jc w:val="left"/>
            </w:pPr>
            <w:r w:rsidRPr="00B66436">
              <w:t>TT Rock Stars</w:t>
            </w:r>
          </w:p>
        </w:tc>
      </w:tr>
      <w:bookmarkEnd w:id="14"/>
      <w:bookmarkEnd w:id="15"/>
      <w:bookmarkEnd w:id="16"/>
    </w:tbl>
    <w:p w14:paraId="2A7D5553" w14:textId="5E570E6D" w:rsidR="00E66558" w:rsidRDefault="00E66558" w:rsidP="00695F26"/>
    <w:sectPr w:rsidR="00E66558">
      <w:headerReference w:type="default" r:id="rId14"/>
      <w:footerReference w:type="default" r:id="rId15"/>
      <w:pgSz w:w="11906" w:h="16838"/>
      <w:pgMar w:top="1134" w:right="1276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6D640" w14:textId="77777777" w:rsidR="00733232" w:rsidRDefault="00733232">
      <w:pPr>
        <w:spacing w:after="0" w:line="240" w:lineRule="auto"/>
      </w:pPr>
      <w:r>
        <w:separator/>
      </w:r>
    </w:p>
  </w:endnote>
  <w:endnote w:type="continuationSeparator" w:id="0">
    <w:p w14:paraId="2E6A3F3C" w14:textId="77777777" w:rsidR="00733232" w:rsidRDefault="00733232">
      <w:pPr>
        <w:spacing w:after="0" w:line="240" w:lineRule="auto"/>
      </w:pPr>
      <w:r>
        <w:continuationSeparator/>
      </w:r>
    </w:p>
  </w:endnote>
  <w:endnote w:type="continuationNotice" w:id="1">
    <w:p w14:paraId="0E74C45D" w14:textId="77777777" w:rsidR="00733232" w:rsidRDefault="007332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54BE" w14:textId="77777777" w:rsidR="00C373EA" w:rsidRDefault="009D71E8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 w:rsidR="00440B7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B37C2" w14:textId="77777777" w:rsidR="00733232" w:rsidRDefault="00733232">
      <w:pPr>
        <w:spacing w:after="0" w:line="240" w:lineRule="auto"/>
      </w:pPr>
      <w:r>
        <w:separator/>
      </w:r>
    </w:p>
  </w:footnote>
  <w:footnote w:type="continuationSeparator" w:id="0">
    <w:p w14:paraId="1F8CE23A" w14:textId="77777777" w:rsidR="00733232" w:rsidRDefault="00733232">
      <w:pPr>
        <w:spacing w:after="0" w:line="240" w:lineRule="auto"/>
      </w:pPr>
      <w:r>
        <w:continuationSeparator/>
      </w:r>
    </w:p>
  </w:footnote>
  <w:footnote w:type="continuationNotice" w:id="1">
    <w:p w14:paraId="06366706" w14:textId="77777777" w:rsidR="00733232" w:rsidRDefault="007332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54BC" w14:textId="77777777" w:rsidR="00C373EA" w:rsidRDefault="00C373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761E"/>
    <w:multiLevelType w:val="multilevel"/>
    <w:tmpl w:val="6C86EF6A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CE693E"/>
    <w:multiLevelType w:val="multilevel"/>
    <w:tmpl w:val="55DC33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2E2A8F"/>
    <w:multiLevelType w:val="multilevel"/>
    <w:tmpl w:val="D2FCC3E6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3" w15:restartNumberingAfterBreak="0">
    <w:nsid w:val="21631E06"/>
    <w:multiLevelType w:val="hybridMultilevel"/>
    <w:tmpl w:val="04B882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265E8B"/>
    <w:multiLevelType w:val="multilevel"/>
    <w:tmpl w:val="B024EA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6C21397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6D7422D"/>
    <w:multiLevelType w:val="multilevel"/>
    <w:tmpl w:val="D14605B6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7" w15:restartNumberingAfterBreak="0">
    <w:nsid w:val="2F3F4978"/>
    <w:multiLevelType w:val="multilevel"/>
    <w:tmpl w:val="A296BC9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3FE9198B"/>
    <w:multiLevelType w:val="multilevel"/>
    <w:tmpl w:val="2A508BB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49592102"/>
    <w:multiLevelType w:val="hybridMultilevel"/>
    <w:tmpl w:val="E7BEF9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E27D1D"/>
    <w:multiLevelType w:val="hybridMultilevel"/>
    <w:tmpl w:val="1DB036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DF3112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41E11C8"/>
    <w:multiLevelType w:val="hybridMultilevel"/>
    <w:tmpl w:val="D62CE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F260C8"/>
    <w:multiLevelType w:val="hybridMultilevel"/>
    <w:tmpl w:val="66B210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F37F9D"/>
    <w:multiLevelType w:val="multilevel"/>
    <w:tmpl w:val="DE90E1B2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6BE87082"/>
    <w:multiLevelType w:val="multilevel"/>
    <w:tmpl w:val="14C2AA7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6" w15:restartNumberingAfterBreak="0">
    <w:nsid w:val="719A5F31"/>
    <w:multiLevelType w:val="multilevel"/>
    <w:tmpl w:val="3B86DE2C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7" w15:restartNumberingAfterBreak="0">
    <w:nsid w:val="71A22097"/>
    <w:multiLevelType w:val="multilevel"/>
    <w:tmpl w:val="009E2204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8" w15:restartNumberingAfterBreak="0">
    <w:nsid w:val="75CE2048"/>
    <w:multiLevelType w:val="multilevel"/>
    <w:tmpl w:val="2E54C3F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B720978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14"/>
  </w:num>
  <w:num w:numId="8">
    <w:abstractNumId w:val="18"/>
  </w:num>
  <w:num w:numId="9">
    <w:abstractNumId w:val="16"/>
  </w:num>
  <w:num w:numId="10">
    <w:abstractNumId w:val="15"/>
  </w:num>
  <w:num w:numId="11">
    <w:abstractNumId w:val="2"/>
  </w:num>
  <w:num w:numId="12">
    <w:abstractNumId w:val="17"/>
  </w:num>
  <w:num w:numId="13">
    <w:abstractNumId w:val="11"/>
  </w:num>
  <w:num w:numId="14">
    <w:abstractNumId w:val="10"/>
  </w:num>
  <w:num w:numId="15">
    <w:abstractNumId w:val="19"/>
  </w:num>
  <w:num w:numId="16">
    <w:abstractNumId w:val="5"/>
  </w:num>
  <w:num w:numId="17">
    <w:abstractNumId w:val="12"/>
  </w:num>
  <w:num w:numId="18">
    <w:abstractNumId w:val="13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58"/>
    <w:rsid w:val="00003A45"/>
    <w:rsid w:val="00023729"/>
    <w:rsid w:val="000243B4"/>
    <w:rsid w:val="00030F81"/>
    <w:rsid w:val="000452EB"/>
    <w:rsid w:val="000463AE"/>
    <w:rsid w:val="000507A3"/>
    <w:rsid w:val="00060A62"/>
    <w:rsid w:val="00064366"/>
    <w:rsid w:val="00066B73"/>
    <w:rsid w:val="00071481"/>
    <w:rsid w:val="00075FAE"/>
    <w:rsid w:val="00082F38"/>
    <w:rsid w:val="0008384B"/>
    <w:rsid w:val="000927E9"/>
    <w:rsid w:val="000929EC"/>
    <w:rsid w:val="00093CDE"/>
    <w:rsid w:val="00096CCA"/>
    <w:rsid w:val="000A6379"/>
    <w:rsid w:val="000D22B0"/>
    <w:rsid w:val="000D27E6"/>
    <w:rsid w:val="000D35C9"/>
    <w:rsid w:val="000D520C"/>
    <w:rsid w:val="000D6596"/>
    <w:rsid w:val="000E6DF0"/>
    <w:rsid w:val="001037CB"/>
    <w:rsid w:val="0010629E"/>
    <w:rsid w:val="00115538"/>
    <w:rsid w:val="00120AB1"/>
    <w:rsid w:val="00123A7F"/>
    <w:rsid w:val="001278D0"/>
    <w:rsid w:val="00127F72"/>
    <w:rsid w:val="00135561"/>
    <w:rsid w:val="00140646"/>
    <w:rsid w:val="00147A4B"/>
    <w:rsid w:val="00154171"/>
    <w:rsid w:val="001542FD"/>
    <w:rsid w:val="001671ED"/>
    <w:rsid w:val="001727FA"/>
    <w:rsid w:val="00173D4C"/>
    <w:rsid w:val="00177F53"/>
    <w:rsid w:val="00183218"/>
    <w:rsid w:val="0018386B"/>
    <w:rsid w:val="00185988"/>
    <w:rsid w:val="00186FCB"/>
    <w:rsid w:val="001873B6"/>
    <w:rsid w:val="001901E6"/>
    <w:rsid w:val="00191305"/>
    <w:rsid w:val="00195B55"/>
    <w:rsid w:val="001A2FE8"/>
    <w:rsid w:val="001A33AC"/>
    <w:rsid w:val="001C1C51"/>
    <w:rsid w:val="001E0ECA"/>
    <w:rsid w:val="001E206F"/>
    <w:rsid w:val="001E5750"/>
    <w:rsid w:val="001E6D0F"/>
    <w:rsid w:val="001E7739"/>
    <w:rsid w:val="001F3DB4"/>
    <w:rsid w:val="00204F40"/>
    <w:rsid w:val="00205DEF"/>
    <w:rsid w:val="00206C20"/>
    <w:rsid w:val="00216C8A"/>
    <w:rsid w:val="00226317"/>
    <w:rsid w:val="00231539"/>
    <w:rsid w:val="002523E3"/>
    <w:rsid w:val="0026490A"/>
    <w:rsid w:val="00266FA5"/>
    <w:rsid w:val="002920F4"/>
    <w:rsid w:val="002940F3"/>
    <w:rsid w:val="00295842"/>
    <w:rsid w:val="002A227B"/>
    <w:rsid w:val="002B3574"/>
    <w:rsid w:val="002B6B74"/>
    <w:rsid w:val="002C6AE7"/>
    <w:rsid w:val="002D2D4B"/>
    <w:rsid w:val="002D3805"/>
    <w:rsid w:val="002E66AE"/>
    <w:rsid w:val="002E7763"/>
    <w:rsid w:val="002F5842"/>
    <w:rsid w:val="00306CB7"/>
    <w:rsid w:val="003111F5"/>
    <w:rsid w:val="00336200"/>
    <w:rsid w:val="00337418"/>
    <w:rsid w:val="00351D83"/>
    <w:rsid w:val="00353E46"/>
    <w:rsid w:val="00353E83"/>
    <w:rsid w:val="003576C4"/>
    <w:rsid w:val="00364C7D"/>
    <w:rsid w:val="00366AB0"/>
    <w:rsid w:val="0037437C"/>
    <w:rsid w:val="0038146B"/>
    <w:rsid w:val="00381E8C"/>
    <w:rsid w:val="0038340F"/>
    <w:rsid w:val="00384457"/>
    <w:rsid w:val="00384F24"/>
    <w:rsid w:val="003A32B2"/>
    <w:rsid w:val="003A47DD"/>
    <w:rsid w:val="003A634F"/>
    <w:rsid w:val="003B588A"/>
    <w:rsid w:val="003B621D"/>
    <w:rsid w:val="003C30DD"/>
    <w:rsid w:val="003C4388"/>
    <w:rsid w:val="003C4C27"/>
    <w:rsid w:val="003C7F7B"/>
    <w:rsid w:val="003D1265"/>
    <w:rsid w:val="003D2EAA"/>
    <w:rsid w:val="003D35C5"/>
    <w:rsid w:val="003E054C"/>
    <w:rsid w:val="003E27A0"/>
    <w:rsid w:val="003E2A14"/>
    <w:rsid w:val="003E3872"/>
    <w:rsid w:val="004044AA"/>
    <w:rsid w:val="004044C8"/>
    <w:rsid w:val="00404F3F"/>
    <w:rsid w:val="00410B5D"/>
    <w:rsid w:val="00413BEC"/>
    <w:rsid w:val="0042265E"/>
    <w:rsid w:val="00424ED7"/>
    <w:rsid w:val="00425258"/>
    <w:rsid w:val="00426217"/>
    <w:rsid w:val="00431A80"/>
    <w:rsid w:val="00435A89"/>
    <w:rsid w:val="00440B7C"/>
    <w:rsid w:val="00452267"/>
    <w:rsid w:val="00453307"/>
    <w:rsid w:val="00457E36"/>
    <w:rsid w:val="00462F8F"/>
    <w:rsid w:val="00481D56"/>
    <w:rsid w:val="00490408"/>
    <w:rsid w:val="00492505"/>
    <w:rsid w:val="004A4C45"/>
    <w:rsid w:val="004B0485"/>
    <w:rsid w:val="004B428E"/>
    <w:rsid w:val="004B4D37"/>
    <w:rsid w:val="004C42F0"/>
    <w:rsid w:val="004C65DD"/>
    <w:rsid w:val="004E1D73"/>
    <w:rsid w:val="004E390C"/>
    <w:rsid w:val="004E5B9A"/>
    <w:rsid w:val="0051286E"/>
    <w:rsid w:val="00516021"/>
    <w:rsid w:val="00516457"/>
    <w:rsid w:val="00520A0C"/>
    <w:rsid w:val="00530E37"/>
    <w:rsid w:val="005464A1"/>
    <w:rsid w:val="00546F12"/>
    <w:rsid w:val="0055339C"/>
    <w:rsid w:val="00562B3C"/>
    <w:rsid w:val="00564E40"/>
    <w:rsid w:val="00574342"/>
    <w:rsid w:val="005750E2"/>
    <w:rsid w:val="0058313F"/>
    <w:rsid w:val="00585859"/>
    <w:rsid w:val="00586FBC"/>
    <w:rsid w:val="005879C9"/>
    <w:rsid w:val="00591695"/>
    <w:rsid w:val="005A3C6B"/>
    <w:rsid w:val="005A6C96"/>
    <w:rsid w:val="005B1EA5"/>
    <w:rsid w:val="005D7176"/>
    <w:rsid w:val="005E1F24"/>
    <w:rsid w:val="005E73F1"/>
    <w:rsid w:val="005F07EF"/>
    <w:rsid w:val="00600B2E"/>
    <w:rsid w:val="00607CEB"/>
    <w:rsid w:val="00613299"/>
    <w:rsid w:val="0061762D"/>
    <w:rsid w:val="00623AF2"/>
    <w:rsid w:val="00632C4D"/>
    <w:rsid w:val="00634238"/>
    <w:rsid w:val="00635FBC"/>
    <w:rsid w:val="00637728"/>
    <w:rsid w:val="0064113A"/>
    <w:rsid w:val="00644002"/>
    <w:rsid w:val="006458B1"/>
    <w:rsid w:val="00650529"/>
    <w:rsid w:val="00650BAB"/>
    <w:rsid w:val="00651737"/>
    <w:rsid w:val="006671BF"/>
    <w:rsid w:val="00672A7D"/>
    <w:rsid w:val="00681416"/>
    <w:rsid w:val="00695F26"/>
    <w:rsid w:val="006A06F5"/>
    <w:rsid w:val="006A0ED2"/>
    <w:rsid w:val="006B0A73"/>
    <w:rsid w:val="006B5A6B"/>
    <w:rsid w:val="006C0F82"/>
    <w:rsid w:val="006C332E"/>
    <w:rsid w:val="006C5901"/>
    <w:rsid w:val="006D6372"/>
    <w:rsid w:val="006D6E5C"/>
    <w:rsid w:val="006E02AF"/>
    <w:rsid w:val="006E0786"/>
    <w:rsid w:val="006E6B4A"/>
    <w:rsid w:val="006E7449"/>
    <w:rsid w:val="006E7FB1"/>
    <w:rsid w:val="006F2604"/>
    <w:rsid w:val="006F5319"/>
    <w:rsid w:val="006F55FD"/>
    <w:rsid w:val="006F5D21"/>
    <w:rsid w:val="00711BE3"/>
    <w:rsid w:val="00724FA7"/>
    <w:rsid w:val="00725415"/>
    <w:rsid w:val="00727505"/>
    <w:rsid w:val="00731581"/>
    <w:rsid w:val="00733232"/>
    <w:rsid w:val="00741B9E"/>
    <w:rsid w:val="00743DAC"/>
    <w:rsid w:val="0075337B"/>
    <w:rsid w:val="00755CD4"/>
    <w:rsid w:val="00757F96"/>
    <w:rsid w:val="00770B91"/>
    <w:rsid w:val="00785285"/>
    <w:rsid w:val="0078529D"/>
    <w:rsid w:val="00787DC1"/>
    <w:rsid w:val="00790357"/>
    <w:rsid w:val="00794070"/>
    <w:rsid w:val="007A713B"/>
    <w:rsid w:val="007B0523"/>
    <w:rsid w:val="007B64E5"/>
    <w:rsid w:val="007C2F04"/>
    <w:rsid w:val="007F3631"/>
    <w:rsid w:val="007F5B8B"/>
    <w:rsid w:val="00801FE3"/>
    <w:rsid w:val="00817E9A"/>
    <w:rsid w:val="00830D57"/>
    <w:rsid w:val="00832503"/>
    <w:rsid w:val="00847F17"/>
    <w:rsid w:val="00860B07"/>
    <w:rsid w:val="008616F6"/>
    <w:rsid w:val="0086259C"/>
    <w:rsid w:val="00864D38"/>
    <w:rsid w:val="00883F24"/>
    <w:rsid w:val="00897E1F"/>
    <w:rsid w:val="008B2CB4"/>
    <w:rsid w:val="008B6404"/>
    <w:rsid w:val="008C2C21"/>
    <w:rsid w:val="008C7DD3"/>
    <w:rsid w:val="008E000B"/>
    <w:rsid w:val="008E2926"/>
    <w:rsid w:val="008E35C6"/>
    <w:rsid w:val="008E3F49"/>
    <w:rsid w:val="008E7B58"/>
    <w:rsid w:val="008F0F67"/>
    <w:rsid w:val="008F243B"/>
    <w:rsid w:val="008F4675"/>
    <w:rsid w:val="00904A66"/>
    <w:rsid w:val="0092287F"/>
    <w:rsid w:val="0092495B"/>
    <w:rsid w:val="0092660E"/>
    <w:rsid w:val="00936519"/>
    <w:rsid w:val="00941DA3"/>
    <w:rsid w:val="00942C0C"/>
    <w:rsid w:val="009539E3"/>
    <w:rsid w:val="00954A5E"/>
    <w:rsid w:val="009551B2"/>
    <w:rsid w:val="00964625"/>
    <w:rsid w:val="00981C1D"/>
    <w:rsid w:val="0099109C"/>
    <w:rsid w:val="009936DB"/>
    <w:rsid w:val="00993CFC"/>
    <w:rsid w:val="009A1DC2"/>
    <w:rsid w:val="009B57F6"/>
    <w:rsid w:val="009C0914"/>
    <w:rsid w:val="009C27E5"/>
    <w:rsid w:val="009D71E8"/>
    <w:rsid w:val="009E104B"/>
    <w:rsid w:val="009E2D5A"/>
    <w:rsid w:val="009E7DE4"/>
    <w:rsid w:val="009F3BBD"/>
    <w:rsid w:val="00A063DD"/>
    <w:rsid w:val="00A112B5"/>
    <w:rsid w:val="00A123EF"/>
    <w:rsid w:val="00A14EEA"/>
    <w:rsid w:val="00A44FBB"/>
    <w:rsid w:val="00A50104"/>
    <w:rsid w:val="00A522E0"/>
    <w:rsid w:val="00A60848"/>
    <w:rsid w:val="00A63579"/>
    <w:rsid w:val="00A638AC"/>
    <w:rsid w:val="00A727E5"/>
    <w:rsid w:val="00A748B5"/>
    <w:rsid w:val="00A80A32"/>
    <w:rsid w:val="00A82A98"/>
    <w:rsid w:val="00A82D16"/>
    <w:rsid w:val="00A95F75"/>
    <w:rsid w:val="00A96B83"/>
    <w:rsid w:val="00AA355B"/>
    <w:rsid w:val="00AA42E5"/>
    <w:rsid w:val="00AB24FA"/>
    <w:rsid w:val="00AC025A"/>
    <w:rsid w:val="00AD7B5A"/>
    <w:rsid w:val="00AE229F"/>
    <w:rsid w:val="00AF5E20"/>
    <w:rsid w:val="00B002FA"/>
    <w:rsid w:val="00B00327"/>
    <w:rsid w:val="00B024B3"/>
    <w:rsid w:val="00B11DE8"/>
    <w:rsid w:val="00B179ED"/>
    <w:rsid w:val="00B20E18"/>
    <w:rsid w:val="00B572C4"/>
    <w:rsid w:val="00B60858"/>
    <w:rsid w:val="00B74D4E"/>
    <w:rsid w:val="00B80219"/>
    <w:rsid w:val="00BA19A5"/>
    <w:rsid w:val="00BC0A31"/>
    <w:rsid w:val="00BC1DAC"/>
    <w:rsid w:val="00BC67F6"/>
    <w:rsid w:val="00BD2004"/>
    <w:rsid w:val="00BD4B12"/>
    <w:rsid w:val="00BD6306"/>
    <w:rsid w:val="00BE2F92"/>
    <w:rsid w:val="00BF0D5F"/>
    <w:rsid w:val="00C11EB4"/>
    <w:rsid w:val="00C12746"/>
    <w:rsid w:val="00C25827"/>
    <w:rsid w:val="00C30CD9"/>
    <w:rsid w:val="00C31BB8"/>
    <w:rsid w:val="00C373EA"/>
    <w:rsid w:val="00C621C1"/>
    <w:rsid w:val="00C62989"/>
    <w:rsid w:val="00C63F5D"/>
    <w:rsid w:val="00C65CBB"/>
    <w:rsid w:val="00C80F37"/>
    <w:rsid w:val="00C97A7F"/>
    <w:rsid w:val="00CB2D8E"/>
    <w:rsid w:val="00CB5B17"/>
    <w:rsid w:val="00CC4443"/>
    <w:rsid w:val="00CC5CAF"/>
    <w:rsid w:val="00CE13F6"/>
    <w:rsid w:val="00D06874"/>
    <w:rsid w:val="00D173F7"/>
    <w:rsid w:val="00D20203"/>
    <w:rsid w:val="00D204E0"/>
    <w:rsid w:val="00D21354"/>
    <w:rsid w:val="00D22400"/>
    <w:rsid w:val="00D278BA"/>
    <w:rsid w:val="00D33FE5"/>
    <w:rsid w:val="00D3578A"/>
    <w:rsid w:val="00D4463C"/>
    <w:rsid w:val="00D501EE"/>
    <w:rsid w:val="00D517DC"/>
    <w:rsid w:val="00D5590D"/>
    <w:rsid w:val="00D618E4"/>
    <w:rsid w:val="00D61DA5"/>
    <w:rsid w:val="00D7264A"/>
    <w:rsid w:val="00D875ED"/>
    <w:rsid w:val="00D877D0"/>
    <w:rsid w:val="00D90013"/>
    <w:rsid w:val="00D91B9C"/>
    <w:rsid w:val="00D92C1B"/>
    <w:rsid w:val="00D94CC7"/>
    <w:rsid w:val="00DA1AF4"/>
    <w:rsid w:val="00DB0C60"/>
    <w:rsid w:val="00DB1BAE"/>
    <w:rsid w:val="00DC641A"/>
    <w:rsid w:val="00DD37F8"/>
    <w:rsid w:val="00DD6B7D"/>
    <w:rsid w:val="00DD6E14"/>
    <w:rsid w:val="00DE15AC"/>
    <w:rsid w:val="00DE6ED9"/>
    <w:rsid w:val="00E061EC"/>
    <w:rsid w:val="00E13E51"/>
    <w:rsid w:val="00E153A0"/>
    <w:rsid w:val="00E42626"/>
    <w:rsid w:val="00E43EAD"/>
    <w:rsid w:val="00E62DCB"/>
    <w:rsid w:val="00E651DD"/>
    <w:rsid w:val="00E66558"/>
    <w:rsid w:val="00E70D81"/>
    <w:rsid w:val="00E726A6"/>
    <w:rsid w:val="00E86F05"/>
    <w:rsid w:val="00EA3A2A"/>
    <w:rsid w:val="00EB2278"/>
    <w:rsid w:val="00EB4556"/>
    <w:rsid w:val="00EB64C8"/>
    <w:rsid w:val="00ED5108"/>
    <w:rsid w:val="00F012CA"/>
    <w:rsid w:val="00F01752"/>
    <w:rsid w:val="00F0355A"/>
    <w:rsid w:val="00F10832"/>
    <w:rsid w:val="00F20098"/>
    <w:rsid w:val="00F24A7E"/>
    <w:rsid w:val="00F25A93"/>
    <w:rsid w:val="00F33DC0"/>
    <w:rsid w:val="00F62587"/>
    <w:rsid w:val="00F63E9E"/>
    <w:rsid w:val="00F76843"/>
    <w:rsid w:val="00F776E1"/>
    <w:rsid w:val="00F84E28"/>
    <w:rsid w:val="00F925EB"/>
    <w:rsid w:val="00FA6DD0"/>
    <w:rsid w:val="00FC28DF"/>
    <w:rsid w:val="00FE3136"/>
    <w:rsid w:val="00FE4BFE"/>
    <w:rsid w:val="00FE50A3"/>
    <w:rsid w:val="00FF369D"/>
    <w:rsid w:val="00FF6FB0"/>
    <w:rsid w:val="05B6D577"/>
    <w:rsid w:val="069AA0E3"/>
    <w:rsid w:val="07FFD3D3"/>
    <w:rsid w:val="0B240EAF"/>
    <w:rsid w:val="13173609"/>
    <w:rsid w:val="1A172959"/>
    <w:rsid w:val="1CBF4D92"/>
    <w:rsid w:val="2497129E"/>
    <w:rsid w:val="2860AB8E"/>
    <w:rsid w:val="2FFB967E"/>
    <w:rsid w:val="31CC4DD9"/>
    <w:rsid w:val="380BAE89"/>
    <w:rsid w:val="3A3F1ACF"/>
    <w:rsid w:val="3BE13FA2"/>
    <w:rsid w:val="3EA4202B"/>
    <w:rsid w:val="418407A1"/>
    <w:rsid w:val="491E3A64"/>
    <w:rsid w:val="4BF69EA0"/>
    <w:rsid w:val="5C40C457"/>
    <w:rsid w:val="5F3A7B6B"/>
    <w:rsid w:val="617B4808"/>
    <w:rsid w:val="625D1A15"/>
    <w:rsid w:val="6D28B1AF"/>
    <w:rsid w:val="6D616F43"/>
    <w:rsid w:val="6EB7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54B1"/>
  <w15:docId w15:val="{8F3CF67D-12D9-4CBD-8668-182D8E77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5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paragraph" w:styleId="ListParagraph">
    <w:name w:val="List Paragraph"/>
    <w:aliases w:val="NumberedList,Colorful List - Accent 11"/>
    <w:basedOn w:val="Normal"/>
    <w:link w:val="ListParagraphChar"/>
    <w:uiPriority w:val="34"/>
    <w:qFormat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color w:val="0D0D0D"/>
      <w:sz w:val="24"/>
      <w:szCs w:val="22"/>
    </w:rPr>
  </w:style>
  <w:style w:type="character" w:customStyle="1" w:styleId="Heading7Char">
    <w:name w:val="Heading 7 Char"/>
    <w:rPr>
      <w:rFonts w:ascii="Calibri" w:hAnsi="Calibri"/>
      <w:color w:val="0D0D0D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color w:val="0D0D0D"/>
      <w:sz w:val="24"/>
      <w:szCs w:val="24"/>
    </w:rPr>
  </w:style>
  <w:style w:type="character" w:customStyle="1" w:styleId="Heading9Char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color w:val="0D0D0D"/>
      <w:sz w:val="24"/>
      <w:szCs w:val="24"/>
    </w:rPr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3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6"/>
      </w:numPr>
      <w:tabs>
        <w:tab w:val="left" w:pos="491"/>
      </w:tabs>
      <w:contextualSpacing/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7"/>
      </w:numPr>
      <w:contextualSpacing/>
    </w:pPr>
  </w:style>
  <w:style w:type="paragraph" w:customStyle="1" w:styleId="DfESOutNumbered">
    <w:name w:val="DfESOutNumbered"/>
    <w:basedOn w:val="Normal"/>
    <w:pPr>
      <w:widowControl w:val="0"/>
      <w:numPr>
        <w:numId w:val="9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0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rPr>
      <w:sz w:val="24"/>
      <w:lang w:eastAsia="en-US"/>
    </w:rPr>
  </w:style>
  <w:style w:type="paragraph" w:customStyle="1" w:styleId="DeptOutNumbered">
    <w:name w:val="DeptOutNumbered"/>
    <w:basedOn w:val="Normal"/>
    <w:pPr>
      <w:widowControl w:val="0"/>
      <w:numPr>
        <w:numId w:val="11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customStyle="1" w:styleId="Heading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customStyle="1" w:styleId="MinuteTop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customStyle="1" w:styleId="Numbered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customStyle="1" w:styleId="SubtitleChar">
    <w:name w:val="Subtitle Char"/>
    <w:basedOn w:val="DefaultParagraphFont"/>
    <w:rPr>
      <w:i/>
      <w:sz w:val="24"/>
      <w:lang w:eastAsia="en-US"/>
    </w:rPr>
  </w:style>
  <w:style w:type="paragraph" w:customStyle="1" w:styleId="DfESBullets">
    <w:name w:val="DfESBullets"/>
    <w:basedOn w:val="Normal"/>
    <w:pPr>
      <w:widowControl w:val="0"/>
      <w:numPr>
        <w:numId w:val="12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6">
    <w:name w:val="LFO6"/>
    <w:basedOn w:val="NoList"/>
    <w:pPr>
      <w:numPr>
        <w:numId w:val="5"/>
      </w:numPr>
    </w:pPr>
  </w:style>
  <w:style w:type="numbering" w:customStyle="1" w:styleId="LFO9">
    <w:name w:val="LFO9"/>
    <w:basedOn w:val="NoList"/>
    <w:pPr>
      <w:numPr>
        <w:numId w:val="6"/>
      </w:numPr>
    </w:pPr>
  </w:style>
  <w:style w:type="numbering" w:customStyle="1" w:styleId="LFO10">
    <w:name w:val="LFO10"/>
    <w:basedOn w:val="NoList"/>
    <w:pPr>
      <w:numPr>
        <w:numId w:val="7"/>
      </w:numPr>
    </w:pPr>
  </w:style>
  <w:style w:type="numbering" w:customStyle="1" w:styleId="LFO25">
    <w:name w:val="LFO25"/>
    <w:basedOn w:val="NoList"/>
    <w:pPr>
      <w:numPr>
        <w:numId w:val="8"/>
      </w:numPr>
    </w:pPr>
  </w:style>
  <w:style w:type="numbering" w:customStyle="1" w:styleId="LFO28">
    <w:name w:val="LFO28"/>
    <w:basedOn w:val="NoList"/>
    <w:pPr>
      <w:numPr>
        <w:numId w:val="9"/>
      </w:numPr>
    </w:pPr>
  </w:style>
  <w:style w:type="numbering" w:customStyle="1" w:styleId="LFO30">
    <w:name w:val="LFO30"/>
    <w:basedOn w:val="NoList"/>
    <w:pPr>
      <w:numPr>
        <w:numId w:val="10"/>
      </w:numPr>
    </w:pPr>
  </w:style>
  <w:style w:type="numbering" w:customStyle="1" w:styleId="LFO34">
    <w:name w:val="LFO34"/>
    <w:basedOn w:val="NoList"/>
    <w:pPr>
      <w:numPr>
        <w:numId w:val="11"/>
      </w:numPr>
    </w:pPr>
  </w:style>
  <w:style w:type="numbering" w:customStyle="1" w:styleId="LFO36">
    <w:name w:val="LFO36"/>
    <w:basedOn w:val="NoList"/>
    <w:pPr>
      <w:numPr>
        <w:numId w:val="12"/>
      </w:numPr>
    </w:pPr>
  </w:style>
  <w:style w:type="paragraph" w:styleId="Revision">
    <w:name w:val="Revision"/>
    <w:hidden/>
    <w:uiPriority w:val="99"/>
    <w:semiHidden/>
    <w:rsid w:val="00115538"/>
    <w:pPr>
      <w:autoSpaceDN/>
    </w:pPr>
    <w:rPr>
      <w:color w:val="0D0D0D"/>
      <w:sz w:val="24"/>
      <w:szCs w:val="24"/>
    </w:rPr>
  </w:style>
  <w:style w:type="character" w:customStyle="1" w:styleId="Mention1">
    <w:name w:val="Mention1"/>
    <w:basedOn w:val="DefaultParagraphFont"/>
    <w:uiPriority w:val="99"/>
    <w:unhideWhenUsed/>
    <w:rsid w:val="00E726A6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953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umberedList Char,Colorful List - Accent 11 Char"/>
    <w:link w:val="ListParagraph"/>
    <w:uiPriority w:val="34"/>
    <w:rsid w:val="00BC1DAC"/>
    <w:rPr>
      <w:color w:val="0D0D0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endowmentfoundation.org.uk/educationevidence/teaching-learning-toolkit/feedback" TargetMode="External"/><Relationship Id="rId13" Type="http://schemas.openxmlformats.org/officeDocument/2006/relationships/hyperlink" Target="https://educationendowmentfoundation.org.uk/educationevidence/teaching-learning-toolkit/arts-particip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cationendowmentfoundation.org.uk/news/eef-blog-the-shrec-approach-4-evidence-informed-strategies-to-promote-high-quality-interactions-with-young-children" TargetMode="External"/><Relationship Id="rId12" Type="http://schemas.openxmlformats.org/officeDocument/2006/relationships/hyperlink" Target="https://educationendowmentfoundation.org.uk/educationevidence/teaching-learning-toolkit/one-to-one-tuitio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cationendowmentfoundation.org.uk/educationevidence/teaching-learning-toolkit/readingcomprehension-strategi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educationendowmentfoundation.org.uk/educationevidence/teaching-learning-toolkit/small-group-tui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endowmentfoundation.org.uk/educationevidence/teaching-learning-toolkit/phonic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Pupil premium strategy statement</vt:lpstr>
    </vt:vector>
  </TitlesOfParts>
  <Company/>
  <LinksUpToDate>false</LinksUpToDate>
  <CharactersWithSpaces>12194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 premium strategy statement</dc:title>
  <dc:subject/>
  <dc:creator>Publishing.TEAM@education.gsi.gov.uk</dc:creator>
  <cp:keywords/>
  <dc:description>Master-ET-v3.8</dc:description>
  <cp:lastModifiedBy>Lisa Longford</cp:lastModifiedBy>
  <cp:revision>15</cp:revision>
  <cp:lastPrinted>2024-12-17T12:06:00Z</cp:lastPrinted>
  <dcterms:created xsi:type="dcterms:W3CDTF">2024-12-17T10:08:00Z</dcterms:created>
  <dcterms:modified xsi:type="dcterms:W3CDTF">2024-12-23T12:49:00Z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0x0101006FBD534E0B2648409800B3ECF3893BDA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</Properties>
</file>